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171A2"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59E11FD4"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2C8EE8E6"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tbl>
      <w:tblPr>
        <w:tblStyle w:val="afd"/>
        <w:tblW w:w="9688" w:type="dxa"/>
        <w:jc w:val="center"/>
        <w:tblInd w:w="0" w:type="dxa"/>
        <w:tblBorders>
          <w:top w:val="single" w:sz="4" w:space="0" w:color="000080"/>
          <w:bottom w:val="single" w:sz="4" w:space="0" w:color="000080"/>
        </w:tblBorders>
        <w:tblLayout w:type="fixed"/>
        <w:tblLook w:val="0000" w:firstRow="0" w:lastRow="0" w:firstColumn="0" w:lastColumn="0" w:noHBand="0" w:noVBand="0"/>
      </w:tblPr>
      <w:tblGrid>
        <w:gridCol w:w="9688"/>
      </w:tblGrid>
      <w:tr w:rsidR="00485A97" w14:paraId="1602728C" w14:textId="77777777">
        <w:trPr>
          <w:trHeight w:val="1213"/>
          <w:jc w:val="center"/>
        </w:trPr>
        <w:tc>
          <w:tcPr>
            <w:tcW w:w="9688" w:type="dxa"/>
            <w:tcBorders>
              <w:top w:val="nil"/>
              <w:bottom w:val="nil"/>
            </w:tcBorders>
          </w:tcPr>
          <w:p w14:paraId="01899414" w14:textId="77777777" w:rsidR="00485A97" w:rsidRDefault="00976C5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w:drawing>
                <wp:inline distT="0" distB="0" distL="0" distR="0" wp14:anchorId="3BC79560" wp14:editId="72BA553F">
                  <wp:extent cx="857250" cy="1047750"/>
                  <wp:effectExtent l="0" t="0" r="0" b="0"/>
                  <wp:docPr id="135" name="image3.png" descr="stema-de-stat"/>
                  <wp:cNvGraphicFramePr/>
                  <a:graphic xmlns:a="http://schemas.openxmlformats.org/drawingml/2006/main">
                    <a:graphicData uri="http://schemas.openxmlformats.org/drawingml/2006/picture">
                      <pic:pic xmlns:pic="http://schemas.openxmlformats.org/drawingml/2006/picture">
                        <pic:nvPicPr>
                          <pic:cNvPr id="0" name="image3.png" descr="stema-de-stat"/>
                          <pic:cNvPicPr preferRelativeResize="0"/>
                        </pic:nvPicPr>
                        <pic:blipFill>
                          <a:blip r:embed="rId8"/>
                          <a:srcRect/>
                          <a:stretch>
                            <a:fillRect/>
                          </a:stretch>
                        </pic:blipFill>
                        <pic:spPr>
                          <a:xfrm>
                            <a:off x="0" y="0"/>
                            <a:ext cx="857250" cy="1047750"/>
                          </a:xfrm>
                          <a:prstGeom prst="rect">
                            <a:avLst/>
                          </a:prstGeom>
                          <a:ln/>
                        </pic:spPr>
                      </pic:pic>
                    </a:graphicData>
                  </a:graphic>
                </wp:inline>
              </w:drawing>
            </w:r>
          </w:p>
        </w:tc>
      </w:tr>
      <w:tr w:rsidR="00485A97" w14:paraId="1DC8EFAE" w14:textId="77777777">
        <w:trPr>
          <w:cantSplit/>
          <w:trHeight w:val="342"/>
          <w:jc w:val="center"/>
        </w:trPr>
        <w:tc>
          <w:tcPr>
            <w:tcW w:w="9688" w:type="dxa"/>
            <w:tcBorders>
              <w:top w:val="nil"/>
              <w:bottom w:val="nil"/>
            </w:tcBorders>
          </w:tcPr>
          <w:p w14:paraId="76F12FF0" w14:textId="77777777" w:rsidR="00485A97" w:rsidRDefault="00485A9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tc>
      </w:tr>
    </w:tbl>
    <w:p w14:paraId="409FAE38" w14:textId="77777777" w:rsidR="00485A97" w:rsidRDefault="00485A97">
      <w:pPr>
        <w:spacing w:after="0" w:line="240" w:lineRule="auto"/>
        <w:rPr>
          <w:rFonts w:ascii="Times New Roman" w:eastAsia="Times New Roman" w:hAnsi="Times New Roman" w:cs="Times New Roman"/>
          <w:b/>
          <w:color w:val="000000"/>
          <w:sz w:val="24"/>
          <w:szCs w:val="24"/>
        </w:rPr>
      </w:pPr>
    </w:p>
    <w:p w14:paraId="48EB632D" w14:textId="77777777" w:rsidR="00485A97" w:rsidRDefault="00976C54">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MINISTERUL EDUCAȚIEI ȘI CERCETĂRII</w:t>
      </w:r>
    </w:p>
    <w:p w14:paraId="09487E1B"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3D1A9399"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3F9D1A7E"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090E1950" w14:textId="4DE6D8FD" w:rsidR="00485A97" w:rsidRPr="00714E57" w:rsidRDefault="00714E57">
      <w:pPr>
        <w:spacing w:after="0" w:line="240" w:lineRule="auto"/>
        <w:jc w:val="center"/>
        <w:rPr>
          <w:rFonts w:ascii="Times New Roman" w:eastAsia="Times New Roman" w:hAnsi="Times New Roman" w:cs="Times New Roman"/>
          <w:b/>
          <w:color w:val="000000"/>
          <w:sz w:val="24"/>
          <w:szCs w:val="24"/>
          <w:u w:val="single"/>
        </w:rPr>
      </w:pPr>
      <w:r w:rsidRPr="00714E57">
        <w:rPr>
          <w:rFonts w:ascii="Times New Roman" w:eastAsia="Times New Roman" w:hAnsi="Times New Roman" w:cs="Times New Roman"/>
          <w:b/>
          <w:color w:val="000000"/>
          <w:sz w:val="24"/>
          <w:szCs w:val="24"/>
          <w:u w:val="single"/>
        </w:rPr>
        <w:t>PROIECT</w:t>
      </w:r>
    </w:p>
    <w:p w14:paraId="7CEDB4C0"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463C2DC6"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0DB4E0DF"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6F23799D"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3EFD7B7D" w14:textId="77777777" w:rsidR="00485A97" w:rsidRDefault="00485A97">
      <w:pPr>
        <w:spacing w:after="0" w:line="240" w:lineRule="auto"/>
        <w:jc w:val="center"/>
        <w:rPr>
          <w:rFonts w:ascii="Times New Roman" w:eastAsia="Times New Roman" w:hAnsi="Times New Roman" w:cs="Times New Roman"/>
          <w:b/>
          <w:color w:val="000000"/>
          <w:sz w:val="24"/>
          <w:szCs w:val="24"/>
        </w:rPr>
      </w:pPr>
    </w:p>
    <w:p w14:paraId="1D774334" w14:textId="77777777" w:rsidR="00485A97" w:rsidRDefault="00976C54">
      <w:pP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STRATEGIA</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 w:val="36"/>
          <w:szCs w:val="36"/>
        </w:rPr>
        <w:t xml:space="preserve">DE DEZVOLTARE </w:t>
      </w:r>
    </w:p>
    <w:p w14:paraId="0359DEBD" w14:textId="77777777" w:rsidR="00485A97" w:rsidRDefault="00976C54">
      <w:pP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 SECTORULUI DE TINERET</w:t>
      </w:r>
    </w:p>
    <w:p w14:paraId="29C298A8" w14:textId="77777777" w:rsidR="00485A97" w:rsidRDefault="00485A97">
      <w:pPr>
        <w:spacing w:after="0" w:line="240" w:lineRule="auto"/>
        <w:jc w:val="center"/>
        <w:rPr>
          <w:rFonts w:ascii="Times New Roman" w:eastAsia="Times New Roman" w:hAnsi="Times New Roman" w:cs="Times New Roman"/>
          <w:b/>
          <w:color w:val="000000"/>
          <w:sz w:val="36"/>
          <w:szCs w:val="36"/>
        </w:rPr>
      </w:pPr>
    </w:p>
    <w:p w14:paraId="29672E03" w14:textId="77777777" w:rsidR="00485A97" w:rsidRDefault="00976C54">
      <w:pPr>
        <w:spacing w:after="0" w:line="240" w:lineRule="auto"/>
        <w:jc w:val="center"/>
        <w:rPr>
          <w:rFonts w:ascii="Times New Roman" w:eastAsia="Times New Roman" w:hAnsi="Times New Roman" w:cs="Times New Roman"/>
          <w:b/>
          <w:color w:val="000000"/>
          <w:sz w:val="36"/>
          <w:szCs w:val="36"/>
          <w:u w:val="single"/>
        </w:rPr>
      </w:pPr>
      <w:r>
        <w:rPr>
          <w:rFonts w:ascii="Times New Roman" w:eastAsia="Times New Roman" w:hAnsi="Times New Roman" w:cs="Times New Roman"/>
          <w:b/>
          <w:color w:val="000000"/>
          <w:sz w:val="36"/>
          <w:szCs w:val="36"/>
          <w:u w:val="single"/>
        </w:rPr>
        <w:t>TINERET 2030</w:t>
      </w:r>
    </w:p>
    <w:p w14:paraId="765CFFC7"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68CD7B90"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2E0A3056"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57ED11BB"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3CCE1F81"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4A9B7945"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49882B00"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07E67E2A" w14:textId="77777777" w:rsidR="00485A97" w:rsidRDefault="00485A97">
      <w:pPr>
        <w:spacing w:after="120" w:line="240" w:lineRule="auto"/>
        <w:rPr>
          <w:rFonts w:ascii="Times New Roman" w:eastAsia="Times New Roman" w:hAnsi="Times New Roman" w:cs="Times New Roman"/>
          <w:b/>
          <w:color w:val="000000"/>
          <w:sz w:val="24"/>
          <w:szCs w:val="24"/>
        </w:rPr>
      </w:pPr>
    </w:p>
    <w:p w14:paraId="3082B899"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21F086EC"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2374CE33"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5317326C"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3BF64668" w14:textId="77777777" w:rsidR="00485A97" w:rsidRDefault="00485A97">
      <w:pPr>
        <w:spacing w:after="120" w:line="240" w:lineRule="auto"/>
        <w:jc w:val="center"/>
        <w:rPr>
          <w:rFonts w:ascii="Times New Roman" w:eastAsia="Times New Roman" w:hAnsi="Times New Roman" w:cs="Times New Roman"/>
          <w:b/>
          <w:color w:val="000000"/>
          <w:sz w:val="24"/>
          <w:szCs w:val="24"/>
        </w:rPr>
      </w:pPr>
    </w:p>
    <w:p w14:paraId="71F7D035" w14:textId="77777777" w:rsidR="00485A97" w:rsidRDefault="00976C54">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Chișinău, 2022</w:t>
      </w:r>
    </w:p>
    <w:p w14:paraId="4AFB6595"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Acronime și abrevieri</w:t>
      </w:r>
    </w:p>
    <w:p w14:paraId="2974E75D" w14:textId="77777777" w:rsidR="00485A97" w:rsidRDefault="00485A97">
      <w:pPr>
        <w:shd w:val="clear" w:color="auto" w:fill="FFFFFF"/>
        <w:spacing w:after="0" w:line="360" w:lineRule="auto"/>
        <w:jc w:val="center"/>
        <w:rPr>
          <w:rFonts w:ascii="Times New Roman" w:eastAsia="Times New Roman" w:hAnsi="Times New Roman" w:cs="Times New Roman"/>
          <w:b/>
          <w:sz w:val="24"/>
          <w:szCs w:val="24"/>
        </w:rPr>
      </w:pPr>
    </w:p>
    <w:tbl>
      <w:tblPr>
        <w:tblStyle w:val="afe"/>
        <w:tblW w:w="967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75"/>
        <w:gridCol w:w="7500"/>
      </w:tblGrid>
      <w:tr w:rsidR="00485A97" w14:paraId="4B726D27" w14:textId="77777777">
        <w:tc>
          <w:tcPr>
            <w:tcW w:w="2175" w:type="dxa"/>
          </w:tcPr>
          <w:p w14:paraId="04DC9349"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APL</w:t>
            </w:r>
          </w:p>
        </w:tc>
        <w:tc>
          <w:tcPr>
            <w:tcW w:w="7500" w:type="dxa"/>
          </w:tcPr>
          <w:p w14:paraId="1D0B0959"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Autorități Publice Locale</w:t>
            </w:r>
          </w:p>
        </w:tc>
      </w:tr>
      <w:tr w:rsidR="00485A97" w14:paraId="7D525FE9" w14:textId="77777777">
        <w:tc>
          <w:tcPr>
            <w:tcW w:w="2175" w:type="dxa"/>
          </w:tcPr>
          <w:p w14:paraId="7FD2587E"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ANDPAT</w:t>
            </w:r>
          </w:p>
        </w:tc>
        <w:tc>
          <w:tcPr>
            <w:tcW w:w="7500" w:type="dxa"/>
          </w:tcPr>
          <w:p w14:paraId="4399C61F"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Dezvoltarea Programelor și Activității de Tineret</w:t>
            </w:r>
          </w:p>
        </w:tc>
      </w:tr>
      <w:tr w:rsidR="00485A97" w14:paraId="0E02492A" w14:textId="77777777">
        <w:tc>
          <w:tcPr>
            <w:tcW w:w="2175" w:type="dxa"/>
          </w:tcPr>
          <w:p w14:paraId="5C3666E1"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ANOFM</w:t>
            </w:r>
          </w:p>
        </w:tc>
        <w:tc>
          <w:tcPr>
            <w:tcW w:w="7500" w:type="dxa"/>
          </w:tcPr>
          <w:p w14:paraId="2E159BAF"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Ocuparea Forței de Muncă</w:t>
            </w:r>
          </w:p>
        </w:tc>
      </w:tr>
      <w:tr w:rsidR="00485A97" w14:paraId="37046357" w14:textId="77777777">
        <w:tc>
          <w:tcPr>
            <w:tcW w:w="2175" w:type="dxa"/>
          </w:tcPr>
          <w:p w14:paraId="08BD99C4"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w:t>
            </w:r>
          </w:p>
        </w:tc>
        <w:tc>
          <w:tcPr>
            <w:tcW w:w="7500" w:type="dxa"/>
          </w:tcPr>
          <w:p w14:paraId="6CC0AEF2"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Consiliul Europei</w:t>
            </w:r>
          </w:p>
        </w:tc>
      </w:tr>
      <w:tr w:rsidR="00485A97" w14:paraId="7B0C3A6F" w14:textId="77777777">
        <w:tc>
          <w:tcPr>
            <w:tcW w:w="2175" w:type="dxa"/>
          </w:tcPr>
          <w:p w14:paraId="3E63C9F6"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Co-management</w:t>
            </w:r>
          </w:p>
        </w:tc>
        <w:tc>
          <w:tcPr>
            <w:tcW w:w="7500" w:type="dxa"/>
          </w:tcPr>
          <w:p w14:paraId="1547B58A"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 de cooperare și decizie de la egal la egal între factori de decizie și tineri / organizații de tineret</w:t>
            </w:r>
          </w:p>
        </w:tc>
      </w:tr>
      <w:tr w:rsidR="00485A97" w14:paraId="27D36921" w14:textId="77777777">
        <w:tc>
          <w:tcPr>
            <w:tcW w:w="2175" w:type="dxa"/>
          </w:tcPr>
          <w:p w14:paraId="1F2AA338"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CNTM</w:t>
            </w:r>
          </w:p>
        </w:tc>
        <w:tc>
          <w:tcPr>
            <w:tcW w:w="7500" w:type="dxa"/>
          </w:tcPr>
          <w:p w14:paraId="41C46E97"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Consiliul Național al Tineretului din Moldova</w:t>
            </w:r>
          </w:p>
        </w:tc>
      </w:tr>
      <w:tr w:rsidR="00485A97" w14:paraId="3AF3DA99" w14:textId="77777777">
        <w:tc>
          <w:tcPr>
            <w:tcW w:w="2175" w:type="dxa"/>
          </w:tcPr>
          <w:p w14:paraId="7474DB65"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CPD</w:t>
            </w:r>
          </w:p>
        </w:tc>
        <w:tc>
          <w:tcPr>
            <w:tcW w:w="7500" w:type="dxa"/>
          </w:tcPr>
          <w:p w14:paraId="4211ABAD"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Centrul Parteneriat pentru Dezvoltare</w:t>
            </w:r>
          </w:p>
        </w:tc>
      </w:tr>
      <w:tr w:rsidR="00485A97" w14:paraId="3053DA08" w14:textId="77777777">
        <w:tc>
          <w:tcPr>
            <w:tcW w:w="2175" w:type="dxa"/>
          </w:tcPr>
          <w:p w14:paraId="3815F5C0"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CSI</w:t>
            </w:r>
          </w:p>
        </w:tc>
        <w:tc>
          <w:tcPr>
            <w:tcW w:w="7500" w:type="dxa"/>
          </w:tcPr>
          <w:p w14:paraId="3D819C3E"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Comunitatea Statelor Independente</w:t>
            </w:r>
          </w:p>
        </w:tc>
      </w:tr>
      <w:tr w:rsidR="00485A97" w14:paraId="04B45F94" w14:textId="77777777">
        <w:tc>
          <w:tcPr>
            <w:tcW w:w="2175" w:type="dxa"/>
          </w:tcPr>
          <w:p w14:paraId="1BE020C7"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GIZ</w:t>
            </w:r>
          </w:p>
        </w:tc>
        <w:tc>
          <w:tcPr>
            <w:tcW w:w="7500" w:type="dxa"/>
          </w:tcPr>
          <w:p w14:paraId="00562ACB"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de Cooperare Internațională a Germaniei</w:t>
            </w:r>
          </w:p>
        </w:tc>
      </w:tr>
      <w:tr w:rsidR="00485A97" w14:paraId="613B2271" w14:textId="77777777">
        <w:tc>
          <w:tcPr>
            <w:tcW w:w="2175" w:type="dxa"/>
          </w:tcPr>
          <w:p w14:paraId="16C35C3A"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w:t>
            </w:r>
          </w:p>
        </w:tc>
        <w:tc>
          <w:tcPr>
            <w:tcW w:w="7500" w:type="dxa"/>
          </w:tcPr>
          <w:p w14:paraId="5FB5EC67"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r>
      <w:tr w:rsidR="00485A97" w14:paraId="419521D0" w14:textId="77777777">
        <w:tc>
          <w:tcPr>
            <w:tcW w:w="2175" w:type="dxa"/>
          </w:tcPr>
          <w:p w14:paraId="34A52451"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NEET</w:t>
            </w:r>
          </w:p>
        </w:tc>
        <w:tc>
          <w:tcPr>
            <w:tcW w:w="7500" w:type="dxa"/>
          </w:tcPr>
          <w:p w14:paraId="3E6EF40B" w14:textId="77777777" w:rsidR="00485A97" w:rsidRDefault="00976C54">
            <w:pPr>
              <w:tabs>
                <w:tab w:val="center" w:pos="4024"/>
              </w:tabs>
              <w:spacing w:line="360" w:lineRule="auto"/>
              <w:ind w:right="-221"/>
              <w:rPr>
                <w:rFonts w:ascii="Times New Roman" w:eastAsia="Times New Roman" w:hAnsi="Times New Roman" w:cs="Times New Roman"/>
                <w:sz w:val="24"/>
                <w:szCs w:val="24"/>
              </w:rPr>
            </w:pPr>
            <w:r>
              <w:rPr>
                <w:rFonts w:ascii="Times New Roman" w:eastAsia="Times New Roman" w:hAnsi="Times New Roman" w:cs="Times New Roman"/>
                <w:sz w:val="24"/>
                <w:szCs w:val="24"/>
              </w:rPr>
              <w:t>Tineri aflați în afara sistemului de educație, formare și ocupație profesională</w:t>
            </w:r>
          </w:p>
        </w:tc>
      </w:tr>
      <w:tr w:rsidR="00485A97" w14:paraId="5A6BA94E" w14:textId="77777777">
        <w:tc>
          <w:tcPr>
            <w:tcW w:w="2175" w:type="dxa"/>
          </w:tcPr>
          <w:p w14:paraId="113EFDE9"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ODD</w:t>
            </w:r>
          </w:p>
        </w:tc>
        <w:tc>
          <w:tcPr>
            <w:tcW w:w="7500" w:type="dxa"/>
          </w:tcPr>
          <w:p w14:paraId="389F82DA"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Obiective de Dezvoltare Durabilă</w:t>
            </w:r>
          </w:p>
        </w:tc>
      </w:tr>
      <w:tr w:rsidR="00485A97" w14:paraId="6B7F240C" w14:textId="77777777">
        <w:tc>
          <w:tcPr>
            <w:tcW w:w="2175" w:type="dxa"/>
          </w:tcPr>
          <w:p w14:paraId="6F4AF371"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SND</w:t>
            </w:r>
          </w:p>
        </w:tc>
        <w:tc>
          <w:tcPr>
            <w:tcW w:w="7500" w:type="dxa"/>
          </w:tcPr>
          <w:p w14:paraId="296A3BA6"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Strategia Națională de Dezvoltare</w:t>
            </w:r>
            <w:r>
              <w:rPr>
                <w:rFonts w:ascii="Times New Roman" w:eastAsia="Times New Roman" w:hAnsi="Times New Roman" w:cs="Times New Roman"/>
                <w:sz w:val="24"/>
                <w:szCs w:val="24"/>
              </w:rPr>
              <w:tab/>
            </w:r>
          </w:p>
        </w:tc>
      </w:tr>
      <w:tr w:rsidR="00485A97" w14:paraId="0D0D6348" w14:textId="77777777">
        <w:tc>
          <w:tcPr>
            <w:tcW w:w="2175" w:type="dxa"/>
          </w:tcPr>
          <w:p w14:paraId="0796CAE9"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SNDST2020</w:t>
            </w:r>
          </w:p>
        </w:tc>
        <w:tc>
          <w:tcPr>
            <w:tcW w:w="7500" w:type="dxa"/>
          </w:tcPr>
          <w:p w14:paraId="3EF30B82"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Strategia Națională de Dezvoltare a Sectorului de Tineret 2016-2020</w:t>
            </w:r>
          </w:p>
        </w:tc>
      </w:tr>
      <w:tr w:rsidR="00485A97" w14:paraId="34A3C118" w14:textId="77777777">
        <w:tc>
          <w:tcPr>
            <w:tcW w:w="2175" w:type="dxa"/>
          </w:tcPr>
          <w:p w14:paraId="55A66798"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w:t>
            </w:r>
          </w:p>
        </w:tc>
        <w:tc>
          <w:tcPr>
            <w:tcW w:w="7500" w:type="dxa"/>
          </w:tcPr>
          <w:p w14:paraId="6BE11306"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Sector de tineret</w:t>
            </w:r>
          </w:p>
        </w:tc>
      </w:tr>
      <w:tr w:rsidR="00485A97" w14:paraId="06FDD728" w14:textId="77777777">
        <w:tc>
          <w:tcPr>
            <w:tcW w:w="2175" w:type="dxa"/>
          </w:tcPr>
          <w:p w14:paraId="09338F90"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RNCLTM</w:t>
            </w:r>
          </w:p>
        </w:tc>
        <w:tc>
          <w:tcPr>
            <w:tcW w:w="7500" w:type="dxa"/>
          </w:tcPr>
          <w:p w14:paraId="1A1732A0" w14:textId="77777777" w:rsidR="00485A97" w:rsidRDefault="00976C54">
            <w:pPr>
              <w:tabs>
                <w:tab w:val="center" w:pos="402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Rețeaua Națională a Consiliilor Locale ale Tinerilor din Moldova</w:t>
            </w:r>
          </w:p>
        </w:tc>
      </w:tr>
      <w:tr w:rsidR="00485A97" w14:paraId="21B6E065" w14:textId="77777777">
        <w:tc>
          <w:tcPr>
            <w:tcW w:w="2175" w:type="dxa"/>
          </w:tcPr>
          <w:p w14:paraId="5333C164"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UE</w:t>
            </w:r>
          </w:p>
        </w:tc>
        <w:tc>
          <w:tcPr>
            <w:tcW w:w="7500" w:type="dxa"/>
          </w:tcPr>
          <w:p w14:paraId="038F0B73"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Uniunea Europeană</w:t>
            </w:r>
          </w:p>
        </w:tc>
      </w:tr>
      <w:tr w:rsidR="00485A97" w14:paraId="724FB55B" w14:textId="77777777">
        <w:tc>
          <w:tcPr>
            <w:tcW w:w="2175" w:type="dxa"/>
          </w:tcPr>
          <w:p w14:paraId="7FCB3D35"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UNFPA</w:t>
            </w:r>
          </w:p>
        </w:tc>
        <w:tc>
          <w:tcPr>
            <w:tcW w:w="7500" w:type="dxa"/>
          </w:tcPr>
          <w:p w14:paraId="32F81523"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Fondul Națiunilor Unite pentru Populație</w:t>
            </w:r>
          </w:p>
        </w:tc>
      </w:tr>
      <w:tr w:rsidR="00485A97" w14:paraId="3A10FFD6" w14:textId="77777777">
        <w:tc>
          <w:tcPr>
            <w:tcW w:w="2175" w:type="dxa"/>
          </w:tcPr>
          <w:p w14:paraId="76ED557F" w14:textId="77777777" w:rsidR="00485A97" w:rsidRDefault="00976C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UNICEF</w:t>
            </w:r>
          </w:p>
        </w:tc>
        <w:tc>
          <w:tcPr>
            <w:tcW w:w="7500" w:type="dxa"/>
          </w:tcPr>
          <w:p w14:paraId="09F5E9A4" w14:textId="77777777" w:rsidR="00485A97" w:rsidRDefault="00976C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Fondul Națiunilor Unite pentru Copii</w:t>
            </w:r>
          </w:p>
        </w:tc>
      </w:tr>
    </w:tbl>
    <w:p w14:paraId="3933849E" w14:textId="77777777" w:rsidR="00485A97" w:rsidRDefault="00485A97">
      <w:pPr>
        <w:shd w:val="clear" w:color="auto" w:fill="FFFFFF"/>
        <w:spacing w:after="0" w:line="240" w:lineRule="auto"/>
        <w:rPr>
          <w:rFonts w:ascii="Times New Roman" w:eastAsia="Times New Roman" w:hAnsi="Times New Roman" w:cs="Times New Roman"/>
          <w:sz w:val="24"/>
          <w:szCs w:val="24"/>
        </w:rPr>
      </w:pPr>
    </w:p>
    <w:p w14:paraId="08736D01"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4F297D67"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05BCC18C"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3559C544"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4FF19E64"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03563042"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1C8603DC"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5C4EC505"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54E93033"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10EAF723"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2117AEB1"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24957FE3"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1657FB2A"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484B299D"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7B32F7B1" w14:textId="77777777" w:rsidR="00F90DFB" w:rsidRDefault="00F90DFB">
      <w:pPr>
        <w:shd w:val="clear" w:color="auto" w:fill="FFFFFF"/>
        <w:spacing w:after="0" w:line="240" w:lineRule="auto"/>
        <w:rPr>
          <w:rFonts w:ascii="Times New Roman" w:eastAsia="Times New Roman" w:hAnsi="Times New Roman" w:cs="Times New Roman"/>
          <w:b/>
          <w:sz w:val="24"/>
          <w:szCs w:val="24"/>
        </w:rPr>
      </w:pPr>
    </w:p>
    <w:p w14:paraId="06883E16"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33C2817F"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INTRODUCERE</w:t>
      </w:r>
    </w:p>
    <w:p w14:paraId="47EEC51F" w14:textId="77777777" w:rsidR="00485A97" w:rsidRDefault="00976C5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E0D03E4"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Strategia de dezvoltare a sectorului de tineret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Tineret 2030„ </w:t>
      </w:r>
      <w:r>
        <w:rPr>
          <w:rFonts w:ascii="Times New Roman" w:eastAsia="Times New Roman" w:hAnsi="Times New Roman" w:cs="Times New Roman"/>
          <w:color w:val="000000"/>
          <w:sz w:val="24"/>
          <w:szCs w:val="24"/>
        </w:rPr>
        <w:t xml:space="preserve">este cel de-al patrulea document de politici publice în domeniu. Fundamentată în concluziile și recomandările din raportul de evaluare finală a </w:t>
      </w:r>
      <w:r>
        <w:rPr>
          <w:rFonts w:ascii="Times New Roman" w:eastAsia="Times New Roman" w:hAnsi="Times New Roman" w:cs="Times New Roman"/>
          <w:i/>
          <w:color w:val="000000"/>
          <w:sz w:val="24"/>
          <w:szCs w:val="24"/>
        </w:rPr>
        <w:t>Strategiei naționale de dezvoltare a sectorului de tineret 2020</w:t>
      </w:r>
      <w:r>
        <w:rPr>
          <w:rFonts w:ascii="Times New Roman" w:eastAsia="Times New Roman" w:hAnsi="Times New Roman" w:cs="Times New Roman"/>
          <w:color w:val="000000"/>
          <w:sz w:val="24"/>
          <w:szCs w:val="24"/>
        </w:rPr>
        <w:t xml:space="preserve">, strategia </w:t>
      </w:r>
      <w:r>
        <w:rPr>
          <w:rFonts w:ascii="Times New Roman" w:eastAsia="Times New Roman" w:hAnsi="Times New Roman" w:cs="Times New Roman"/>
          <w:i/>
          <w:color w:val="000000"/>
          <w:sz w:val="24"/>
          <w:szCs w:val="24"/>
        </w:rPr>
        <w:t>Tineret 2030</w:t>
      </w:r>
      <w:r>
        <w:rPr>
          <w:rFonts w:ascii="Times New Roman" w:eastAsia="Times New Roman" w:hAnsi="Times New Roman" w:cs="Times New Roman"/>
          <w:color w:val="000000"/>
          <w:sz w:val="24"/>
          <w:szCs w:val="24"/>
        </w:rPr>
        <w:t xml:space="preserve"> abordează bunăstarea tinerilor prin prisma necesității dezvoltării unui ecosistem de instituții și actori responsabili care își coordonează activitățile și își bazează intervențiile pe necesitățile reale ale tinerilor. Chiar dacă subiectul principal al politicii statului îl constituie tinerii, strategia sectorului de tineret trasează intervenții orientate pe activitatea structurilor asociative și grupurilor de inițiativă ale </w:t>
      </w:r>
      <w:r>
        <w:rPr>
          <w:rFonts w:ascii="Times New Roman" w:eastAsia="Times New Roman" w:hAnsi="Times New Roman" w:cs="Times New Roman"/>
          <w:sz w:val="24"/>
          <w:szCs w:val="24"/>
        </w:rPr>
        <w:t>tinerilor</w:t>
      </w:r>
      <w:r>
        <w:rPr>
          <w:rFonts w:ascii="Times New Roman" w:eastAsia="Times New Roman" w:hAnsi="Times New Roman" w:cs="Times New Roman"/>
          <w:color w:val="000000"/>
          <w:sz w:val="24"/>
          <w:szCs w:val="24"/>
        </w:rPr>
        <w:t>, lucrătorilor de tineret, instituțiilor publice și private, autorităților publice ca elemente de realizare a politicii ur</w:t>
      </w:r>
      <w:r>
        <w:rPr>
          <w:rFonts w:ascii="Times New Roman" w:eastAsia="Times New Roman" w:hAnsi="Times New Roman" w:cs="Times New Roman"/>
          <w:sz w:val="24"/>
          <w:szCs w:val="24"/>
        </w:rPr>
        <w:t>mărind obiectivele de dezvoltare și activizare a tinerilor</w:t>
      </w:r>
      <w:r>
        <w:rPr>
          <w:rFonts w:ascii="Times New Roman" w:eastAsia="Times New Roman" w:hAnsi="Times New Roman" w:cs="Times New Roman"/>
          <w:color w:val="000000"/>
          <w:sz w:val="24"/>
          <w:szCs w:val="24"/>
        </w:rPr>
        <w:t>. </w:t>
      </w:r>
    </w:p>
    <w:p w14:paraId="445AFC33"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189F71B"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Republica Moldova promovează o politică de tineret ancorată în politicile Consiliului Europei, asumate în Strategia Sectorului de Tineret 2030</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și accentuează rolul tinerilor și organizațiilor de tineret în construcția democrației participative și a societății moderne. Urmând imperativul integrării europene, Republica Moldova se aliniază la tendințele de dezvoltare a lucrului de tineret asumate de Uniunea Europeană prin </w:t>
      </w:r>
      <w:r>
        <w:rPr>
          <w:rFonts w:ascii="Times New Roman" w:eastAsia="Times New Roman" w:hAnsi="Times New Roman" w:cs="Times New Roman"/>
          <w:i/>
          <w:color w:val="000000"/>
          <w:sz w:val="24"/>
          <w:szCs w:val="24"/>
        </w:rPr>
        <w:t>Agenda europeană privind lucrul de tineret</w:t>
      </w:r>
      <w:r>
        <w:rPr>
          <w:rFonts w:ascii="Times New Roman" w:eastAsia="Times New Roman" w:hAnsi="Times New Roman" w:cs="Times New Roman"/>
          <w:i/>
          <w:color w:val="000000"/>
          <w:sz w:val="24"/>
          <w:szCs w:val="24"/>
          <w:vertAlign w:val="superscript"/>
        </w:rPr>
        <w:footnoteReference w:id="2"/>
      </w:r>
      <w:r>
        <w:rPr>
          <w:rFonts w:ascii="Times New Roman" w:eastAsia="Times New Roman" w:hAnsi="Times New Roman" w:cs="Times New Roman"/>
          <w:i/>
          <w:color w:val="000000"/>
          <w:sz w:val="24"/>
          <w:szCs w:val="24"/>
        </w:rPr>
        <w:t xml:space="preserve">, Obiectivele de tineret al </w:t>
      </w:r>
      <w:r>
        <w:rPr>
          <w:rFonts w:ascii="Times New Roman" w:eastAsia="Times New Roman" w:hAnsi="Times New Roman" w:cs="Times New Roman"/>
          <w:i/>
          <w:sz w:val="24"/>
          <w:szCs w:val="24"/>
        </w:rPr>
        <w:t>UE</w:t>
      </w:r>
      <w:r>
        <w:rPr>
          <w:rFonts w:ascii="Times New Roman" w:eastAsia="Times New Roman" w:hAnsi="Times New Roman" w:cs="Times New Roman"/>
          <w:i/>
          <w:color w:val="000000"/>
          <w:sz w:val="24"/>
          <w:szCs w:val="24"/>
          <w:vertAlign w:val="superscript"/>
        </w:rPr>
        <w:footnoteReference w:id="3"/>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și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color w:val="000000"/>
          <w:sz w:val="24"/>
          <w:szCs w:val="24"/>
        </w:rPr>
        <w:t xml:space="preserve">trategia de tineret a </w:t>
      </w:r>
      <w:r>
        <w:rPr>
          <w:rFonts w:ascii="Times New Roman" w:eastAsia="Times New Roman" w:hAnsi="Times New Roman" w:cs="Times New Roman"/>
          <w:i/>
          <w:sz w:val="24"/>
          <w:szCs w:val="24"/>
        </w:rPr>
        <w:t>UE 2019-2027</w:t>
      </w:r>
      <w:r>
        <w:rPr>
          <w:rFonts w:ascii="Times New Roman" w:eastAsia="Times New Roman" w:hAnsi="Times New Roman" w:cs="Times New Roman"/>
          <w:i/>
          <w:sz w:val="24"/>
          <w:szCs w:val="24"/>
          <w:vertAlign w:val="superscript"/>
        </w:rPr>
        <w:footnoteReference w:id="4"/>
      </w:r>
      <w:r>
        <w:rPr>
          <w:rFonts w:ascii="Times New Roman" w:eastAsia="Times New Roman" w:hAnsi="Times New Roman" w:cs="Times New Roman"/>
          <w:color w:val="000000"/>
          <w:sz w:val="24"/>
          <w:szCs w:val="24"/>
        </w:rPr>
        <w:t xml:space="preserve"> și abordează tinerii și structurile de tineret ca actori </w:t>
      </w:r>
      <w:r>
        <w:rPr>
          <w:rFonts w:ascii="Times New Roman" w:eastAsia="Times New Roman" w:hAnsi="Times New Roman" w:cs="Times New Roman"/>
          <w:sz w:val="24"/>
          <w:szCs w:val="24"/>
        </w:rPr>
        <w:t>importanți</w:t>
      </w:r>
      <w:r>
        <w:rPr>
          <w:rFonts w:ascii="Times New Roman" w:eastAsia="Times New Roman" w:hAnsi="Times New Roman" w:cs="Times New Roman"/>
          <w:color w:val="000000"/>
          <w:sz w:val="24"/>
          <w:szCs w:val="24"/>
        </w:rPr>
        <w:t xml:space="preserve"> în procesul de realizare a Strategiei Naționale de Dezvoltare „Moldova Europeană 2030” și atingere a Obiectivelor de Dezvoltare Durabilă.</w:t>
      </w:r>
    </w:p>
    <w:p w14:paraId="54D9CB0E"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4FC8DA"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Capacitatea unui stat modern de a se dezvolta social și economic are la bază un capital uman suficient de pregătit și activ pentru a contribui calitativ în toate sectoarele și domeniile publice sau private. Capitalul uman al Republicii Moldova a înregistrat, de la declararea </w:t>
      </w:r>
      <w:r>
        <w:rPr>
          <w:rFonts w:ascii="Times New Roman" w:eastAsia="Times New Roman" w:hAnsi="Times New Roman" w:cs="Times New Roman"/>
          <w:sz w:val="24"/>
          <w:szCs w:val="24"/>
        </w:rPr>
        <w:t>independenței</w:t>
      </w:r>
      <w:r>
        <w:rPr>
          <w:rFonts w:ascii="Times New Roman" w:eastAsia="Times New Roman" w:hAnsi="Times New Roman" w:cs="Times New Roman"/>
          <w:color w:val="000000"/>
          <w:sz w:val="24"/>
          <w:szCs w:val="24"/>
        </w:rPr>
        <w:t xml:space="preserve"> până în prezent, o tendință demografică negativă caracterizată de îmbătrânirea populației și un fenomen accentuat al migrației, în special în rândul populației tinere. Printre principalele cauze ale migrației, sunt invocate lipsa oportunităților de încadrare în câmpul muncii și salarizarea neatractivă, calitatea scăzută a sistemului de educație, oportunități reduse și servicii necalitative, infrastructură slab dezvoltată, în special în mediul rural. Cei mai predispuși migrării sunt tinerii, care aleg </w:t>
      </w:r>
      <w:r>
        <w:rPr>
          <w:rFonts w:ascii="Times New Roman" w:eastAsia="Times New Roman" w:hAnsi="Times New Roman" w:cs="Times New Roman"/>
          <w:sz w:val="24"/>
          <w:szCs w:val="24"/>
        </w:rPr>
        <w:t>să-și</w:t>
      </w:r>
      <w:r>
        <w:rPr>
          <w:rFonts w:ascii="Times New Roman" w:eastAsia="Times New Roman" w:hAnsi="Times New Roman" w:cs="Times New Roman"/>
          <w:color w:val="000000"/>
          <w:sz w:val="24"/>
          <w:szCs w:val="24"/>
        </w:rPr>
        <w:t xml:space="preserve"> facă studiile în afara Republicii Moldova sau, nefiind satisfăcuți de gradul de salarizare și oferta ocupațională, aleg un loc de muncă mai bine plătit în țările UE sau CSI. </w:t>
      </w:r>
    </w:p>
    <w:p w14:paraId="09D93B33"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DC0CB7F"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Unul din rolurile</w:t>
      </w:r>
      <w:r>
        <w:rPr>
          <w:rFonts w:ascii="Times New Roman" w:eastAsia="Times New Roman" w:hAnsi="Times New Roman" w:cs="Times New Roman"/>
          <w:color w:val="000000"/>
          <w:sz w:val="24"/>
          <w:szCs w:val="24"/>
        </w:rPr>
        <w:t xml:space="preserve"> primordiale ale statului este de a pregăti, prin intermediul sistemului educațional, cetățeni </w:t>
      </w:r>
      <w:r>
        <w:rPr>
          <w:rFonts w:ascii="Times New Roman" w:eastAsia="Times New Roman" w:hAnsi="Times New Roman" w:cs="Times New Roman"/>
          <w:sz w:val="24"/>
          <w:szCs w:val="24"/>
        </w:rPr>
        <w:t>activi</w:t>
      </w:r>
      <w:r>
        <w:rPr>
          <w:rFonts w:ascii="Times New Roman" w:eastAsia="Times New Roman" w:hAnsi="Times New Roman" w:cs="Times New Roman"/>
          <w:color w:val="000000"/>
          <w:sz w:val="24"/>
          <w:szCs w:val="24"/>
        </w:rPr>
        <w:t xml:space="preserve"> și competenți pentru a se integra economic și social. Oferta educațională, în acest sens, este necesar să corespundă atât necesităților de dezvoltare în era digitală, cât și suficient de racordată la necesitățile pieței muncii. Construcția sistemului educațional național formal es</w:t>
      </w:r>
      <w:r>
        <w:rPr>
          <w:rFonts w:ascii="Times New Roman" w:eastAsia="Times New Roman" w:hAnsi="Times New Roman" w:cs="Times New Roman"/>
          <w:sz w:val="24"/>
          <w:szCs w:val="24"/>
        </w:rPr>
        <w:t>te de principiu rigidă, care necesită un efort considerabil uman și financiar pentru a fi modelat în timp util pentru a răspunde factorilor externi în continuă schimbare. Astfel, se reliefează necesitatea de extindere și dezvoltare a sistemului educațional informal și non-formal ca element complementar, pentru a contribui la</w:t>
      </w:r>
      <w:r>
        <w:rPr>
          <w:rFonts w:ascii="Times New Roman" w:eastAsia="Times New Roman" w:hAnsi="Times New Roman" w:cs="Times New Roman"/>
          <w:color w:val="000000"/>
          <w:sz w:val="24"/>
          <w:szCs w:val="24"/>
        </w:rPr>
        <w:t xml:space="preserve"> crește</w:t>
      </w:r>
      <w:r>
        <w:rPr>
          <w:rFonts w:ascii="Times New Roman" w:eastAsia="Times New Roman" w:hAnsi="Times New Roman" w:cs="Times New Roman"/>
          <w:sz w:val="24"/>
          <w:szCs w:val="24"/>
        </w:rPr>
        <w:t>rea ratei de succes</w:t>
      </w:r>
      <w:r>
        <w:rPr>
          <w:rFonts w:ascii="Times New Roman" w:eastAsia="Times New Roman" w:hAnsi="Times New Roman" w:cs="Times New Roman"/>
          <w:color w:val="000000"/>
          <w:sz w:val="24"/>
          <w:szCs w:val="24"/>
        </w:rPr>
        <w:t xml:space="preserve"> de integrare pe piața muncii și în viața socială</w:t>
      </w:r>
      <w:r>
        <w:rPr>
          <w:rFonts w:ascii="Times New Roman" w:eastAsia="Times New Roman" w:hAnsi="Times New Roman" w:cs="Times New Roman"/>
          <w:sz w:val="24"/>
          <w:szCs w:val="24"/>
        </w:rPr>
        <w:t>.</w:t>
      </w:r>
    </w:p>
    <w:p w14:paraId="184BBB47"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C5C5B40"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Conform Forumului Economic Global, în anul 2022, printre cele mai apreciate și solicitate competențe pe care este necesar să le dețină un cetățean de succes sunt gândirea analitică și inovarea; creativitatea, originalitatea și inițiativ</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liderismul și </w:t>
      </w:r>
      <w:r>
        <w:rPr>
          <w:rFonts w:ascii="Times New Roman" w:eastAsia="Times New Roman" w:hAnsi="Times New Roman" w:cs="Times New Roman"/>
          <w:sz w:val="24"/>
          <w:szCs w:val="24"/>
        </w:rPr>
        <w:t>influența</w:t>
      </w:r>
      <w:r>
        <w:rPr>
          <w:rFonts w:ascii="Times New Roman" w:eastAsia="Times New Roman" w:hAnsi="Times New Roman" w:cs="Times New Roman"/>
          <w:color w:val="000000"/>
          <w:sz w:val="24"/>
          <w:szCs w:val="24"/>
        </w:rPr>
        <w:t xml:space="preserve"> socială; inteligenț</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emoțională ș.a. În măsura în care </w:t>
      </w:r>
      <w:r>
        <w:rPr>
          <w:rFonts w:ascii="Times New Roman" w:eastAsia="Times New Roman" w:hAnsi="Times New Roman" w:cs="Times New Roman"/>
          <w:color w:val="000000"/>
          <w:sz w:val="24"/>
          <w:szCs w:val="24"/>
        </w:rPr>
        <w:lastRenderedPageBreak/>
        <w:t xml:space="preserve">sistemul educațional formal nu poate acoperi în totalitate dezvoltarea calitativă a competențelor solicitate în era digitală, fiind insuficient de flexibil, statul investește în construcția unui sistem de educație non-formală și informală. Acesta, construit în jurul conceptului </w:t>
      </w:r>
      <w:r>
        <w:rPr>
          <w:rFonts w:ascii="Times New Roman" w:eastAsia="Times New Roman" w:hAnsi="Times New Roman" w:cs="Times New Roman"/>
          <w:i/>
          <w:color w:val="000000"/>
          <w:sz w:val="24"/>
          <w:szCs w:val="24"/>
        </w:rPr>
        <w:t>învățare prin practică,</w:t>
      </w:r>
      <w:r>
        <w:rPr>
          <w:rFonts w:ascii="Times New Roman" w:eastAsia="Times New Roman" w:hAnsi="Times New Roman" w:cs="Times New Roman"/>
          <w:color w:val="000000"/>
          <w:sz w:val="24"/>
          <w:szCs w:val="24"/>
        </w:rPr>
        <w:t xml:space="preserve"> utilizează metode și instrumente de lucru cu tinerii în cadrul activităților și programelor de educație non-formală, ce </w:t>
      </w:r>
      <w:r>
        <w:rPr>
          <w:rFonts w:ascii="Times New Roman" w:eastAsia="Times New Roman" w:hAnsi="Times New Roman" w:cs="Times New Roman"/>
          <w:sz w:val="24"/>
          <w:szCs w:val="24"/>
        </w:rPr>
        <w:t>țintesc</w:t>
      </w:r>
      <w:r>
        <w:rPr>
          <w:rFonts w:ascii="Times New Roman" w:eastAsia="Times New Roman" w:hAnsi="Times New Roman" w:cs="Times New Roman"/>
          <w:color w:val="000000"/>
          <w:sz w:val="24"/>
          <w:szCs w:val="24"/>
        </w:rPr>
        <w:t xml:space="preserve"> să dezvolte un set de abilități și competențe  necesare tinerilor, pentru a deveni cetățeni activi și apți.</w:t>
      </w:r>
    </w:p>
    <w:p w14:paraId="6E257286"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A77B70"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În acest sens, politica de tineret se concentrează pe crearea unei oferte </w:t>
      </w:r>
      <w:r>
        <w:rPr>
          <w:rFonts w:ascii="Times New Roman" w:eastAsia="Times New Roman" w:hAnsi="Times New Roman" w:cs="Times New Roman"/>
          <w:sz w:val="24"/>
          <w:szCs w:val="24"/>
        </w:rPr>
        <w:t>de dezvoltare</w:t>
      </w:r>
      <w:r>
        <w:rPr>
          <w:rFonts w:ascii="Times New Roman" w:eastAsia="Times New Roman" w:hAnsi="Times New Roman" w:cs="Times New Roman"/>
          <w:color w:val="000000"/>
          <w:sz w:val="24"/>
          <w:szCs w:val="24"/>
        </w:rPr>
        <w:t xml:space="preserve"> complementar</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a politicii educa</w:t>
      </w:r>
      <w:r>
        <w:rPr>
          <w:rFonts w:ascii="Times New Roman" w:eastAsia="Times New Roman" w:hAnsi="Times New Roman" w:cs="Times New Roman"/>
          <w:sz w:val="24"/>
          <w:szCs w:val="24"/>
        </w:rPr>
        <w:t>ționale</w:t>
      </w:r>
      <w:r>
        <w:rPr>
          <w:rFonts w:ascii="Times New Roman" w:eastAsia="Times New Roman" w:hAnsi="Times New Roman" w:cs="Times New Roman"/>
          <w:color w:val="000000"/>
          <w:sz w:val="24"/>
          <w:szCs w:val="24"/>
        </w:rPr>
        <w:t xml:space="preserve"> formale, </w:t>
      </w:r>
      <w:r>
        <w:rPr>
          <w:rFonts w:ascii="Times New Roman" w:eastAsia="Times New Roman" w:hAnsi="Times New Roman" w:cs="Times New Roman"/>
          <w:sz w:val="24"/>
          <w:szCs w:val="24"/>
        </w:rPr>
        <w:t>punând</w:t>
      </w:r>
      <w:r>
        <w:rPr>
          <w:rFonts w:ascii="Times New Roman" w:eastAsia="Times New Roman" w:hAnsi="Times New Roman" w:cs="Times New Roman"/>
          <w:color w:val="000000"/>
          <w:sz w:val="24"/>
          <w:szCs w:val="24"/>
        </w:rPr>
        <w:t xml:space="preserve"> accent pe competențel</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și valoril</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de participare, inovare </w:t>
      </w:r>
      <w:r>
        <w:rPr>
          <w:rFonts w:ascii="Times New Roman" w:eastAsia="Times New Roman" w:hAnsi="Times New Roman" w:cs="Times New Roman"/>
          <w:sz w:val="24"/>
          <w:szCs w:val="24"/>
        </w:rPr>
        <w:t>și soluționare a problemelor centrate pe tineri și necesitățile lor.</w:t>
      </w:r>
    </w:p>
    <w:p w14:paraId="0D373BCD"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AFDDF39"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Acționând în echilibru cu alte politici naționale care sunt orientate pe bunăstarea tinerilor, politica de tineret proiectează intervenții pe segmente precum participare civică și decizională, lucru și programe de tineret, implicare comunitară, voluntariat</w:t>
      </w:r>
      <w:r>
        <w:rPr>
          <w:rFonts w:ascii="Times New Roman" w:eastAsia="Times New Roman" w:hAnsi="Times New Roman" w:cs="Times New Roman"/>
          <w:sz w:val="24"/>
          <w:szCs w:val="24"/>
        </w:rPr>
        <w:t xml:space="preserve"> și</w:t>
      </w:r>
      <w:r>
        <w:rPr>
          <w:rFonts w:ascii="Times New Roman" w:eastAsia="Times New Roman" w:hAnsi="Times New Roman" w:cs="Times New Roman"/>
          <w:color w:val="000000"/>
          <w:sz w:val="24"/>
          <w:szCs w:val="24"/>
        </w:rPr>
        <w:t xml:space="preserve"> inovați</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socială. </w:t>
      </w:r>
    </w:p>
    <w:p w14:paraId="18694695"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9C57070"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Criza de sănătate publică generată de pandemia Covid-19 și criza generată de războiul din regiune au demonstrat că instrumentele utilizate de stat pentru a interveni direct la beneficiar rămân a fi prea puțin flexibile și tind să se concentreze pe măsurile de atenuare a impactului. Pe de o parte,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hiar dac</w:t>
      </w:r>
      <w:r>
        <w:rPr>
          <w:rFonts w:ascii="Times New Roman" w:eastAsia="Times New Roman" w:hAnsi="Times New Roman" w:cs="Times New Roman"/>
          <w:sz w:val="24"/>
          <w:szCs w:val="24"/>
        </w:rPr>
        <w:t xml:space="preserve">ă tinerii și organizațiile de tineret au jucat un rol crucial în diminuarea impactului negativ al acestor crize și susținerea celor afectați de acestea, </w:t>
      </w:r>
      <w:r>
        <w:rPr>
          <w:rFonts w:ascii="Times New Roman" w:eastAsia="Times New Roman" w:hAnsi="Times New Roman" w:cs="Times New Roman"/>
          <w:color w:val="000000"/>
          <w:sz w:val="24"/>
          <w:szCs w:val="24"/>
        </w:rPr>
        <w:t>tinerii, la r</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ndul lor, continuă a fi un grup puternic afectat de crize, pe de altă parte solidaritatea și activismul tinerilor contribuie semnificativ la creșterea rezultatel</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 înregistrate în gestionarea acestor</w:t>
      </w:r>
      <w:r>
        <w:rPr>
          <w:rFonts w:ascii="Times New Roman" w:eastAsia="Times New Roman" w:hAnsi="Times New Roman" w:cs="Times New Roman"/>
          <w:sz w:val="24"/>
          <w:szCs w:val="24"/>
        </w:rPr>
        <w:t xml:space="preserve"> crize</w:t>
      </w:r>
      <w:r>
        <w:rPr>
          <w:rFonts w:ascii="Times New Roman" w:eastAsia="Times New Roman" w:hAnsi="Times New Roman" w:cs="Times New Roman"/>
          <w:color w:val="000000"/>
          <w:sz w:val="24"/>
          <w:szCs w:val="24"/>
        </w:rPr>
        <w:t xml:space="preserve"> anume prin utilizarea potențialului de a se implica și a genera soluții inovative. Crearea unui mediu propice în care tinerii și organizațiile de tineret se pot implica în situațiile care necesită o mobilizare rapidă constituie un rezultat scontat al Strategiei Tineret 2030. </w:t>
      </w:r>
    </w:p>
    <w:p w14:paraId="467735E7"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65BC81E"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Indiferent de situaţia economică, politică şi socială, politicile naţionale promovează o abordare incluzivă, egală şi de abilitare a tuturor grupurilor şi categoriilor de tineri din societate, însoţite de garanţii exprese împotriva excluderii şi discriminării, </w:t>
      </w:r>
      <w:r>
        <w:rPr>
          <w:rFonts w:ascii="Times New Roman" w:eastAsia="Times New Roman" w:hAnsi="Times New Roman" w:cs="Times New Roman"/>
          <w:sz w:val="24"/>
          <w:szCs w:val="24"/>
        </w:rPr>
        <w:t>precum</w:t>
      </w:r>
      <w:r>
        <w:rPr>
          <w:rFonts w:ascii="Times New Roman" w:eastAsia="Times New Roman" w:hAnsi="Times New Roman" w:cs="Times New Roman"/>
          <w:color w:val="000000"/>
          <w:sz w:val="24"/>
          <w:szCs w:val="24"/>
        </w:rPr>
        <w:t xml:space="preserve"> şi stabilirea unor mecanisme clare şi accesibile de recurs şi responsabilizare.</w:t>
      </w:r>
    </w:p>
    <w:p w14:paraId="6A1901A2"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C60A2C7"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Strategia Tineret 2030 menține liniile directorii din cadrul ultimului ciclu de politici și se bazează pe experiențele pozitive din realizarea acestuia, asigură continuitate și perfecționează anumite dimensiuni și arii de intervenție, creează abordări noi și inovează, în contextul noilor provocări și circumstanțe naționale și internaționale. </w:t>
      </w:r>
    </w:p>
    <w:p w14:paraId="0251A0F6"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098A9BA"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Strategia Tineret 2030 rezidă din necesitatea:</w:t>
      </w:r>
    </w:p>
    <w:p w14:paraId="4BB40C6E" w14:textId="77777777" w:rsidR="00485A97" w:rsidRDefault="00976C54">
      <w:pPr>
        <w:numPr>
          <w:ilvl w:val="0"/>
          <w:numId w:val="3"/>
        </w:numPr>
        <w:spacing w:after="0" w:line="240" w:lineRule="auto"/>
        <w:ind w:left="425"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 dezvolta un sistem de asigurare a tinerilor cu oportunități de educație non-formală de calitate, </w:t>
      </w:r>
      <w:r>
        <w:rPr>
          <w:rFonts w:ascii="Times New Roman" w:eastAsia="Times New Roman" w:hAnsi="Times New Roman" w:cs="Times New Roman"/>
          <w:sz w:val="24"/>
          <w:szCs w:val="24"/>
        </w:rPr>
        <w:t>concentrat pe dezvoltarea competențelor necesare pentru integrarea socio-economică,</w:t>
      </w:r>
      <w:r>
        <w:rPr>
          <w:rFonts w:ascii="Times New Roman" w:eastAsia="Times New Roman" w:hAnsi="Times New Roman" w:cs="Times New Roman"/>
          <w:color w:val="000000"/>
          <w:sz w:val="24"/>
          <w:szCs w:val="24"/>
        </w:rPr>
        <w:t xml:space="preserve"> complementar la sistemul educațional formal, </w:t>
      </w:r>
      <w:r>
        <w:rPr>
          <w:rFonts w:ascii="Times New Roman" w:eastAsia="Times New Roman" w:hAnsi="Times New Roman" w:cs="Times New Roman"/>
          <w:sz w:val="24"/>
          <w:szCs w:val="24"/>
        </w:rPr>
        <w:t>precum</w:t>
      </w:r>
      <w:r>
        <w:rPr>
          <w:rFonts w:ascii="Times New Roman" w:eastAsia="Times New Roman" w:hAnsi="Times New Roman" w:cs="Times New Roman"/>
          <w:color w:val="000000"/>
          <w:sz w:val="24"/>
          <w:szCs w:val="24"/>
        </w:rPr>
        <w:t xml:space="preserve"> și corelarea acestora</w:t>
      </w:r>
      <w:r>
        <w:rPr>
          <w:rFonts w:ascii="Times New Roman" w:eastAsia="Times New Roman" w:hAnsi="Times New Roman" w:cs="Times New Roman"/>
          <w:sz w:val="24"/>
          <w:szCs w:val="24"/>
        </w:rPr>
        <w:t>;</w:t>
      </w:r>
    </w:p>
    <w:p w14:paraId="554DA9DB" w14:textId="77777777" w:rsidR="00485A97" w:rsidRDefault="00976C54">
      <w:pPr>
        <w:numPr>
          <w:ilvl w:val="0"/>
          <w:numId w:val="3"/>
        </w:numPr>
        <w:spacing w:after="0" w:line="240" w:lineRule="auto"/>
        <w:ind w:left="425"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 impulsiona și susține dezvoltarea sectorului asociativ de tineret și recunoașterea acestuia ca actor </w:t>
      </w:r>
      <w:r>
        <w:rPr>
          <w:rFonts w:ascii="Times New Roman" w:eastAsia="Times New Roman" w:hAnsi="Times New Roman" w:cs="Times New Roman"/>
          <w:sz w:val="24"/>
          <w:szCs w:val="24"/>
        </w:rPr>
        <w:t>imperativ</w:t>
      </w:r>
      <w:r>
        <w:rPr>
          <w:rFonts w:ascii="Times New Roman" w:eastAsia="Times New Roman" w:hAnsi="Times New Roman" w:cs="Times New Roman"/>
          <w:color w:val="000000"/>
          <w:sz w:val="24"/>
          <w:szCs w:val="24"/>
        </w:rPr>
        <w:t xml:space="preserve"> în dezvoltarea socială și economică a statului;</w:t>
      </w:r>
    </w:p>
    <w:p w14:paraId="1F7A24DB" w14:textId="77777777" w:rsidR="00485A97" w:rsidRDefault="00976C54">
      <w:pPr>
        <w:numPr>
          <w:ilvl w:val="0"/>
          <w:numId w:val="3"/>
        </w:numPr>
        <w:spacing w:after="0" w:line="240" w:lineRule="auto"/>
        <w:ind w:left="425"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 crea o abordare transversală a politicilor de tineret</w:t>
      </w:r>
      <w:r>
        <w:rPr>
          <w:rFonts w:ascii="Times New Roman" w:eastAsia="Times New Roman" w:hAnsi="Times New Roman" w:cs="Times New Roman"/>
          <w:sz w:val="24"/>
          <w:szCs w:val="24"/>
        </w:rPr>
        <w:t>, consolidată la nivel național,</w:t>
      </w:r>
      <w:r>
        <w:rPr>
          <w:rFonts w:ascii="Times New Roman" w:eastAsia="Times New Roman" w:hAnsi="Times New Roman" w:cs="Times New Roman"/>
          <w:color w:val="000000"/>
          <w:sz w:val="24"/>
          <w:szCs w:val="24"/>
        </w:rPr>
        <w:t xml:space="preserve"> care este trasată la nivel central</w:t>
      </w:r>
      <w:r>
        <w:rPr>
          <w:rFonts w:ascii="Times New Roman" w:eastAsia="Times New Roman" w:hAnsi="Times New Roman" w:cs="Times New Roman"/>
          <w:sz w:val="24"/>
          <w:szCs w:val="24"/>
        </w:rPr>
        <w:t xml:space="preserve"> și</w:t>
      </w:r>
      <w:r>
        <w:rPr>
          <w:rFonts w:ascii="Times New Roman" w:eastAsia="Times New Roman" w:hAnsi="Times New Roman" w:cs="Times New Roman"/>
          <w:color w:val="000000"/>
          <w:sz w:val="24"/>
          <w:szCs w:val="24"/>
        </w:rPr>
        <w:t xml:space="preserve"> preluată, multiplicată și racordată la nivel local; </w:t>
      </w:r>
    </w:p>
    <w:p w14:paraId="2BE4A76C" w14:textId="77777777" w:rsidR="00485A97" w:rsidRDefault="00976C54">
      <w:pPr>
        <w:numPr>
          <w:ilvl w:val="0"/>
          <w:numId w:val="3"/>
        </w:numPr>
        <w:spacing w:after="0" w:line="240" w:lineRule="auto"/>
        <w:ind w:left="425"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 crea mecanisme flexibile de răspuns la potențiale șocuri sociale, pandemice,  economice etc. care afectează bunăstarea tinerilor și a sectorului de tineret; </w:t>
      </w:r>
    </w:p>
    <w:p w14:paraId="7DF7A71B" w14:textId="77777777" w:rsidR="00485A97" w:rsidRDefault="00976C54">
      <w:pPr>
        <w:numPr>
          <w:ilvl w:val="0"/>
          <w:numId w:val="3"/>
        </w:numPr>
        <w:spacing w:after="0" w:line="240" w:lineRule="auto"/>
        <w:ind w:left="425"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 consolida, recunoaște și promova lucrul de tineret ca instrument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cheie în realizarea proiectelor și programelor dedicate tinerilor;</w:t>
      </w:r>
    </w:p>
    <w:p w14:paraId="20D2C4F3"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50DA67C8"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Strategia </w:t>
      </w:r>
      <w:r>
        <w:rPr>
          <w:rFonts w:ascii="Times New Roman" w:eastAsia="Times New Roman" w:hAnsi="Times New Roman" w:cs="Times New Roman"/>
          <w:i/>
          <w:color w:val="000000"/>
          <w:sz w:val="24"/>
          <w:szCs w:val="24"/>
        </w:rPr>
        <w:t>Tineret 2030</w:t>
      </w:r>
      <w:r>
        <w:rPr>
          <w:rFonts w:ascii="Times New Roman" w:eastAsia="Times New Roman" w:hAnsi="Times New Roman" w:cs="Times New Roman"/>
          <w:color w:val="000000"/>
          <w:sz w:val="24"/>
          <w:szCs w:val="24"/>
        </w:rPr>
        <w:t xml:space="preserve"> a fost concepută pentru a fi suficient de </w:t>
      </w:r>
      <w:r>
        <w:rPr>
          <w:rFonts w:ascii="Times New Roman" w:eastAsia="Times New Roman" w:hAnsi="Times New Roman" w:cs="Times New Roman"/>
          <w:sz w:val="24"/>
          <w:szCs w:val="24"/>
        </w:rPr>
        <w:t>relevantă</w:t>
      </w:r>
      <w:r>
        <w:rPr>
          <w:rFonts w:ascii="Times New Roman" w:eastAsia="Times New Roman" w:hAnsi="Times New Roman" w:cs="Times New Roman"/>
          <w:color w:val="000000"/>
          <w:sz w:val="24"/>
          <w:szCs w:val="24"/>
        </w:rPr>
        <w:t xml:space="preserve">, încât orientările sale de politică și priorități să nu devină rapid depășite, astfel oferind premisele necesare de încadrare socio-juridică </w:t>
      </w:r>
      <w:r>
        <w:rPr>
          <w:rFonts w:ascii="Times New Roman" w:eastAsia="Times New Roman" w:hAnsi="Times New Roman" w:cs="Times New Roman"/>
          <w:sz w:val="24"/>
          <w:szCs w:val="24"/>
        </w:rPr>
        <w:t xml:space="preserve">ce </w:t>
      </w:r>
      <w:r>
        <w:rPr>
          <w:rFonts w:ascii="Times New Roman" w:eastAsia="Times New Roman" w:hAnsi="Times New Roman" w:cs="Times New Roman"/>
          <w:color w:val="000000"/>
          <w:sz w:val="24"/>
          <w:szCs w:val="24"/>
        </w:rPr>
        <w:t xml:space="preserve">vor fi </w:t>
      </w:r>
      <w:r>
        <w:rPr>
          <w:rFonts w:ascii="Times New Roman" w:eastAsia="Times New Roman" w:hAnsi="Times New Roman" w:cs="Times New Roman"/>
          <w:sz w:val="24"/>
          <w:szCs w:val="24"/>
        </w:rPr>
        <w:t>incluse în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următorul Program de implementare etapizat în două perioade a câte 4 ani.</w:t>
      </w:r>
      <w:r>
        <w:rPr>
          <w:rFonts w:ascii="Times New Roman" w:eastAsia="Times New Roman" w:hAnsi="Times New Roman" w:cs="Times New Roman"/>
          <w:color w:val="000000"/>
          <w:sz w:val="24"/>
          <w:szCs w:val="24"/>
        </w:rPr>
        <w:t xml:space="preserve"> </w:t>
      </w:r>
    </w:p>
    <w:p w14:paraId="65CC44C3"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Fundamentată în necesitatea promovării unei abordări strategice în realizarea politicii de tineret asumată în cadrul Acordului de Asociere Republica Moldova - Uniunea Europeană, în diversitatea și amplitudinea intervențiilor proiectate, strategia contribuie la atingerea Obiectivelor de Dezvoltare Durabilă, după cum urmează: </w:t>
      </w:r>
    </w:p>
    <w:p w14:paraId="6876D643" w14:textId="77777777" w:rsidR="00485A97" w:rsidRDefault="00976C54">
      <w:pPr>
        <w:numPr>
          <w:ilvl w:val="0"/>
          <w:numId w:val="4"/>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ână în 2030 va crește substanțial numărul de tineri și adulți ce dețin competențe relevante pentru angajare (ODD 4.4)</w:t>
      </w:r>
    </w:p>
    <w:p w14:paraId="3206B7FC" w14:textId="77777777" w:rsidR="00485A97" w:rsidRDefault="00976C5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oți elevii/studenții vor obține cunoștințe și competențe necesare pentru promovarea dezvoltării durabile și a stilurilor de viață durabile, protecției mediului, modului sănătos de viață, drepturilor omului, egalității de gen, culturii păcii și nonviolenței, cetățeniei globale și aprecierii diversității culturale, precum și a contribuției culturii la dezvoltarea durabilă (ODD 4.7);</w:t>
      </w:r>
    </w:p>
    <w:p w14:paraId="46CD0AC0" w14:textId="77777777" w:rsidR="00485A97" w:rsidRDefault="00976C5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Creșterea ratei de participare a tinerilor și adulților în procesul de educație formală și non-formală pe parcursul vieții, pe sexe (ODD 4.3.1).</w:t>
      </w:r>
    </w:p>
    <w:p w14:paraId="4322372D" w14:textId="77777777" w:rsidR="00485A97" w:rsidRDefault="00976C5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Asigurarea și promovarea participării depline și eficiente a fetelor și femeilor și egalității de șanse la posturi de conducere la toate nivelurile de luare a deciziilor în viața politică, economică și publică (ODD 5.5).</w:t>
      </w:r>
    </w:p>
    <w:p w14:paraId="12AB8182" w14:textId="77777777" w:rsidR="00485A97" w:rsidRDefault="00976C5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Încurajarea și promovarea parteneriatelor dintre tineri și autoritățile publice întru a dezvolta platforme viabile de participare a tinerilor la procesele decizionale, în baza experienței și strategiilor de resurse ale parteneriatelor (ODD 17).</w:t>
      </w:r>
    </w:p>
    <w:p w14:paraId="589408A1" w14:textId="77777777" w:rsidR="00485A97" w:rsidRDefault="00485A97">
      <w:pPr>
        <w:spacing w:after="0" w:line="240" w:lineRule="auto"/>
        <w:jc w:val="both"/>
        <w:rPr>
          <w:rFonts w:ascii="Times New Roman" w:eastAsia="Times New Roman" w:hAnsi="Times New Roman" w:cs="Times New Roman"/>
          <w:color w:val="FFFF00"/>
          <w:sz w:val="24"/>
          <w:szCs w:val="24"/>
        </w:rPr>
      </w:pPr>
    </w:p>
    <w:p w14:paraId="421BEF5D" w14:textId="77777777" w:rsidR="00485A97" w:rsidRDefault="00976C54">
      <w:pPr>
        <w:spacing w:after="0" w:line="240" w:lineRule="auto"/>
        <w:jc w:val="both"/>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Concordanța cu Strategia Națională de Dezvoltare „Moldova Europeană 2030”</w:t>
      </w:r>
    </w:p>
    <w:p w14:paraId="44BAABAF" w14:textId="77777777" w:rsidR="00485A97" w:rsidRDefault="00976C54">
      <w:p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Prezentul document de politici operaționalizează obiectivele strategice de convergență asumate prin Strategia Națională de Dezvoltare „Moldova Europeană 2030” după cum urmează:</w:t>
      </w:r>
    </w:p>
    <w:p w14:paraId="48593DCD"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Instituționalizarea și asigurarea funcționalității comisiilor de co-management pentru politici de tineret, cu scopul coordonării intervențiilor sectoriale pentru tineri și organizații de tineret, precum și asigurarea, susținerea activității acestora prin programe de co-finanțare și suport;</w:t>
      </w:r>
    </w:p>
    <w:p w14:paraId="22A4CA86"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Promovarea unei abordări strategice și sistemice în dezvoltarea sectorului de tineret și a programelor dedicate tinerilor. Dezvoltarea infrastructurii, structurilor și oportunităților pentru implicarea și participarea civică a tinerilor la toate nivelurile;</w:t>
      </w:r>
    </w:p>
    <w:p w14:paraId="26FA437C"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Susținerea sistematică a inițiativelor de inovație socială ale tinerilor și organizațiilor de tineret prin mecanisme de finanțare nerambursabilă și suport material;</w:t>
      </w:r>
    </w:p>
    <w:p w14:paraId="69FBA67D"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Extinderea programelor dedicate tinerilor pentru a acoperi grupurile social-vulnerabile și zonele greu accesibile;</w:t>
      </w:r>
    </w:p>
    <w:p w14:paraId="762EFD52"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Promovarea participării civice a tinerilor și consolidarea democrației participative în rândul tinerilor prin programe dedicate;</w:t>
      </w:r>
    </w:p>
    <w:p w14:paraId="03B932EC"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Instituționalizarea și recunoașterea lucrului de tineret ca instrument de realizare a activităților cu tinerii și extinderea comunității de practicieni în domeniu;</w:t>
      </w:r>
    </w:p>
    <w:p w14:paraId="72E32C39" w14:textId="77777777" w:rsidR="00485A97" w:rsidRDefault="00976C54">
      <w:pPr>
        <w:numPr>
          <w:ilvl w:val="0"/>
          <w:numId w:val="6"/>
        </w:numPr>
        <w:spacing w:after="0" w:line="240" w:lineRule="auto"/>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 xml:space="preserve">Dezvoltarea mecanismelor de suport pentru integrarea activităților de educație non-formală dedicate tinerilor în instituțiile de învățământ superior. </w:t>
      </w:r>
    </w:p>
    <w:p w14:paraId="10247228" w14:textId="77777777" w:rsidR="00485A97" w:rsidRDefault="00485A97">
      <w:pPr>
        <w:spacing w:after="0" w:line="240" w:lineRule="auto"/>
        <w:jc w:val="both"/>
        <w:rPr>
          <w:rFonts w:ascii="Times New Roman" w:eastAsia="Times New Roman" w:hAnsi="Times New Roman" w:cs="Times New Roman"/>
          <w:color w:val="171717"/>
          <w:sz w:val="24"/>
          <w:szCs w:val="24"/>
        </w:rPr>
      </w:pPr>
    </w:p>
    <w:p w14:paraId="613C2E4A" w14:textId="77777777" w:rsidR="00485A97" w:rsidRDefault="00485A97">
      <w:pPr>
        <w:spacing w:after="0" w:line="240" w:lineRule="auto"/>
        <w:jc w:val="both"/>
        <w:rPr>
          <w:rFonts w:ascii="Times New Roman" w:eastAsia="Times New Roman" w:hAnsi="Times New Roman" w:cs="Times New Roman"/>
          <w:b/>
          <w:color w:val="171717"/>
          <w:sz w:val="24"/>
          <w:szCs w:val="24"/>
        </w:rPr>
      </w:pPr>
    </w:p>
    <w:p w14:paraId="5CC8AAD7" w14:textId="77777777" w:rsidR="00485A97" w:rsidRDefault="00485A97">
      <w:pPr>
        <w:spacing w:after="0" w:line="240" w:lineRule="auto"/>
        <w:jc w:val="both"/>
        <w:rPr>
          <w:rFonts w:ascii="Times New Roman" w:eastAsia="Times New Roman" w:hAnsi="Times New Roman" w:cs="Times New Roman"/>
          <w:b/>
          <w:color w:val="171717"/>
          <w:sz w:val="24"/>
          <w:szCs w:val="24"/>
        </w:rPr>
      </w:pPr>
    </w:p>
    <w:p w14:paraId="194EF1C5" w14:textId="77777777" w:rsidR="00485A97" w:rsidRDefault="00485A97">
      <w:pPr>
        <w:spacing w:after="0" w:line="240" w:lineRule="auto"/>
        <w:jc w:val="both"/>
        <w:rPr>
          <w:rFonts w:ascii="Times New Roman" w:eastAsia="Times New Roman" w:hAnsi="Times New Roman" w:cs="Times New Roman"/>
          <w:b/>
          <w:color w:val="171717"/>
          <w:sz w:val="24"/>
          <w:szCs w:val="24"/>
        </w:rPr>
      </w:pPr>
    </w:p>
    <w:p w14:paraId="049DC91E"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171717"/>
          <w:sz w:val="24"/>
          <w:szCs w:val="24"/>
        </w:rPr>
        <w:t xml:space="preserve">Concordanța cu Programul de Guvernare ”Moldova vremurilor bune” </w:t>
      </w:r>
    </w:p>
    <w:p w14:paraId="3439405E"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Strategia Tineret 2030 trasează viziunea strategică asupra modului de realizare a obiectivelor setate în Programul de Guvernare „Moldova vremurilor bune” într-o formă sustenabilă și sistemică, or instrumentele de suport care se propun a fi create contribuie la realizarea programelor de tineret, de susținere a tinerilor și nu trebuie să reprezinte o intervenție singulară. </w:t>
      </w:r>
    </w:p>
    <w:p w14:paraId="13672008" w14:textId="77777777" w:rsidR="00485A97" w:rsidRDefault="00485A97">
      <w:pPr>
        <w:spacing w:after="0" w:line="240" w:lineRule="auto"/>
        <w:jc w:val="both"/>
        <w:rPr>
          <w:rFonts w:ascii="Times New Roman" w:eastAsia="Times New Roman" w:hAnsi="Times New Roman" w:cs="Times New Roman"/>
          <w:sz w:val="24"/>
          <w:szCs w:val="24"/>
        </w:rPr>
      </w:pPr>
    </w:p>
    <w:p w14:paraId="76448A20"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Programul de Guvernare recunoaște importanța dezvoltării tinerilor și a structurilor de tineret și propune atât creșterea cantitativă a resurselor financiare alocate pentru susținerea inițiativelor tinerilor și sectorului de tineret, cât și pentru susținerea și consolidarea instituțională a actorilor-cheie cu atribuții în dezvoltarea și realizarea politicilor și programelor de tineret. Viziunea strategică a Programului de Guvernare este construită în jurul participării civice și decizionale a tinerilor prin împuternicirea și consolidarea competențelor acestora. De asemenea, Programul de guvernare pune accent pe crearea unei gândiri antreprenoriale în rândul tinerilor, care va contribui  la integrarea financiară, dar și pe latura de inovație. Strategia Tineret 2030 abordează liniile directorii trasate de Programul de Guvernare prin intervențiile la nivel de creare a ecosistemului  și  creștere a calității programelor realizate și finanțărilor alocate.</w:t>
      </w:r>
    </w:p>
    <w:p w14:paraId="3E73E8CF" w14:textId="77777777" w:rsidR="00485A97" w:rsidRDefault="00485A97">
      <w:pPr>
        <w:spacing w:after="0" w:line="240" w:lineRule="auto"/>
        <w:jc w:val="both"/>
        <w:rPr>
          <w:rFonts w:ascii="Times New Roman" w:eastAsia="Times New Roman" w:hAnsi="Times New Roman" w:cs="Times New Roman"/>
          <w:sz w:val="24"/>
          <w:szCs w:val="24"/>
        </w:rPr>
      </w:pPr>
    </w:p>
    <w:p w14:paraId="7FB71859"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Concordanța cu Planul de acțiune pentru tineret în acțiunea externă a Uniunii Europene 2027</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Promovarea participării semnificative a tinerilor și a împuternicirii în acțiunea externă a UE pentru dezvoltare durabilă, egalitate și pace </w:t>
      </w:r>
      <w:r>
        <w:rPr>
          <w:rFonts w:ascii="Times New Roman" w:eastAsia="Times New Roman" w:hAnsi="Times New Roman" w:cs="Times New Roman"/>
          <w:sz w:val="24"/>
          <w:szCs w:val="24"/>
        </w:rPr>
        <w:t>se conturează în următoarele viziuni strategice abordate:</w:t>
      </w:r>
    </w:p>
    <w:p w14:paraId="2E2E15A7" w14:textId="77777777" w:rsidR="00485A97" w:rsidRDefault="00976C5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promovarea parteneriatelor pentru implicare, împuternicire și conexiune;</w:t>
      </w:r>
    </w:p>
    <w:p w14:paraId="3901834E" w14:textId="77777777" w:rsidR="00485A97" w:rsidRDefault="00976C5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promovarea participării semnificative a tinerilor în elaborarea politicilor, dar și în agenda de pace și securitate;</w:t>
      </w:r>
    </w:p>
    <w:p w14:paraId="0A1726CC" w14:textId="77777777" w:rsidR="00485A97" w:rsidRDefault="00976C5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crearea platformelor de dialog sistematice cu organizațiile de tineret;</w:t>
      </w:r>
    </w:p>
    <w:p w14:paraId="35382352" w14:textId="77777777" w:rsidR="00485A97" w:rsidRDefault="00976C5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sporirea capacității instituționale și expertizei cu privire la modul de lucru cu și pentru tineri, dar și la protecția copilului prin formare, orientări și schimb de bune practici.</w:t>
      </w:r>
    </w:p>
    <w:p w14:paraId="45AFD801"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5FE88B1"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Strategia </w:t>
      </w:r>
      <w:r>
        <w:rPr>
          <w:rFonts w:ascii="Times New Roman" w:eastAsia="Times New Roman" w:hAnsi="Times New Roman" w:cs="Times New Roman"/>
          <w:i/>
          <w:color w:val="000000"/>
          <w:sz w:val="24"/>
          <w:szCs w:val="24"/>
        </w:rPr>
        <w:t>Tineret 20</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abordează în viziune, acțiune și impact următorii actori:</w:t>
      </w:r>
    </w:p>
    <w:p w14:paraId="10CE981D"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Tinerii și organizațiile de tineret;</w:t>
      </w:r>
    </w:p>
    <w:p w14:paraId="60AE51A5"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Structurile </w:t>
      </w:r>
      <w:r>
        <w:rPr>
          <w:rFonts w:ascii="Times New Roman" w:eastAsia="Times New Roman" w:hAnsi="Times New Roman" w:cs="Times New Roman"/>
          <w:sz w:val="24"/>
          <w:szCs w:val="24"/>
        </w:rPr>
        <w:t>non-formale</w:t>
      </w:r>
      <w:r>
        <w:rPr>
          <w:rFonts w:ascii="Times New Roman" w:eastAsia="Times New Roman" w:hAnsi="Times New Roman" w:cs="Times New Roman"/>
          <w:color w:val="000000"/>
          <w:sz w:val="24"/>
          <w:szCs w:val="24"/>
        </w:rPr>
        <w:t xml:space="preserve"> ale tinerilor și grupurile de inițiativă;</w:t>
      </w:r>
    </w:p>
    <w:p w14:paraId="1A7F213A"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Centrele de tineret și alte instituții ce realizează programe de tineret;</w:t>
      </w:r>
    </w:p>
    <w:p w14:paraId="1A2A7255"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Instituțiile de învățământ superior și structurile</w:t>
      </w:r>
      <w:r>
        <w:rPr>
          <w:rFonts w:ascii="Times New Roman" w:eastAsia="Times New Roman" w:hAnsi="Times New Roman" w:cs="Times New Roman"/>
          <w:sz w:val="24"/>
          <w:szCs w:val="24"/>
        </w:rPr>
        <w:t xml:space="preserve"> de tineret din acestea</w:t>
      </w:r>
      <w:r>
        <w:rPr>
          <w:rFonts w:ascii="Times New Roman" w:eastAsia="Times New Roman" w:hAnsi="Times New Roman" w:cs="Times New Roman"/>
          <w:color w:val="000000"/>
          <w:sz w:val="24"/>
          <w:szCs w:val="24"/>
        </w:rPr>
        <w:t>;</w:t>
      </w:r>
    </w:p>
    <w:p w14:paraId="6970EC8F"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Autoritățile publice centrale, locale și autonome;</w:t>
      </w:r>
    </w:p>
    <w:p w14:paraId="2C30274E"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Lucrătorii de tineret și organizatorii comunitari;</w:t>
      </w:r>
    </w:p>
    <w:p w14:paraId="4E60B0C1" w14:textId="77777777" w:rsidR="00485A97" w:rsidRDefault="00976C5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Voluntarii și organizațiile ce activează în domeniul voluntariat.</w:t>
      </w:r>
    </w:p>
    <w:p w14:paraId="6E69B8A6"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DD9EA8" w14:textId="77777777" w:rsidR="00485A97" w:rsidRDefault="00976C54">
      <w:p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Strategiei </w:t>
      </w:r>
      <w:r>
        <w:rPr>
          <w:rFonts w:ascii="Times New Roman" w:eastAsia="Times New Roman" w:hAnsi="Times New Roman" w:cs="Times New Roman"/>
          <w:i/>
          <w:color w:val="000000"/>
          <w:sz w:val="24"/>
          <w:szCs w:val="24"/>
        </w:rPr>
        <w:t xml:space="preserve">Tineret 2030 </w:t>
      </w:r>
      <w:r>
        <w:rPr>
          <w:rFonts w:ascii="Times New Roman" w:eastAsia="Times New Roman" w:hAnsi="Times New Roman" w:cs="Times New Roman"/>
          <w:color w:val="000000"/>
          <w:sz w:val="24"/>
          <w:szCs w:val="24"/>
        </w:rPr>
        <w:t>a fost elaborată de către Ministerul Educației și Cercetării</w:t>
      </w:r>
      <w:r>
        <w:rPr>
          <w:rFonts w:ascii="Times New Roman" w:eastAsia="Times New Roman" w:hAnsi="Times New Roman" w:cs="Times New Roman"/>
          <w:sz w:val="24"/>
          <w:szCs w:val="24"/>
        </w:rPr>
        <w:t xml:space="preserve"> în parteneriat cu</w:t>
      </w:r>
      <w:r>
        <w:rPr>
          <w:rFonts w:ascii="Times New Roman" w:eastAsia="Times New Roman" w:hAnsi="Times New Roman" w:cs="Times New Roman"/>
          <w:color w:val="000000"/>
          <w:sz w:val="24"/>
          <w:szCs w:val="24"/>
        </w:rPr>
        <w:t xml:space="preserve"> Consiliul Național al Tineretului din Moldova și Centrul Parteneriat pentru Dezvoltare, cu suportul Fondului ONU pentru Populație, UNICEF Moldova și Agenția de Cooperare Internațională a Germaniei, cu consultarea prealabilă a tuturor părților interesate.</w:t>
      </w:r>
    </w:p>
    <w:p w14:paraId="191C71AB" w14:textId="77777777" w:rsidR="00485A97" w:rsidRDefault="00485A97">
      <w:pPr>
        <w:spacing w:after="0" w:line="240" w:lineRule="auto"/>
        <w:rPr>
          <w:rFonts w:ascii="Times New Roman" w:eastAsia="Times New Roman" w:hAnsi="Times New Roman" w:cs="Times New Roman"/>
          <w:sz w:val="24"/>
          <w:szCs w:val="24"/>
        </w:rPr>
      </w:pPr>
    </w:p>
    <w:p w14:paraId="73417067" w14:textId="77777777" w:rsidR="00485A97" w:rsidRDefault="00976C54">
      <w:p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Strategia</w:t>
      </w:r>
      <w:r>
        <w:rPr>
          <w:rFonts w:ascii="Times New Roman" w:eastAsia="Times New Roman" w:hAnsi="Times New Roman" w:cs="Times New Roman"/>
          <w:i/>
          <w:color w:val="000000"/>
          <w:sz w:val="24"/>
          <w:szCs w:val="24"/>
        </w:rPr>
        <w:t xml:space="preserve"> Tineret 2030</w:t>
      </w:r>
      <w:r>
        <w:rPr>
          <w:rFonts w:ascii="Times New Roman" w:eastAsia="Times New Roman" w:hAnsi="Times New Roman" w:cs="Times New Roman"/>
          <w:color w:val="000000"/>
          <w:sz w:val="24"/>
          <w:szCs w:val="24"/>
        </w:rPr>
        <w:t xml:space="preserve"> trasează viziunea statului în domeniu și proiectează rezultatele și țintele care urmează a fi atinse către anul 2030. Programul de implementare a Strategiei reprezintă un document de planificare strategică pe termen mediu (4 ani). </w:t>
      </w:r>
      <w:r>
        <w:rPr>
          <w:rFonts w:ascii="Times New Roman" w:eastAsia="Times New Roman" w:hAnsi="Times New Roman" w:cs="Times New Roman"/>
          <w:sz w:val="24"/>
          <w:szCs w:val="24"/>
        </w:rPr>
        <w:t xml:space="preserve">Mai mult decât atât, programul de implementare a Strategiei Tineret 2030 este în strânsă legătură și cu Programul Guvernului „Moldova vremurilor </w:t>
      </w:r>
      <w:r>
        <w:rPr>
          <w:rFonts w:ascii="Times New Roman" w:eastAsia="Times New Roman" w:hAnsi="Times New Roman" w:cs="Times New Roman"/>
          <w:sz w:val="24"/>
          <w:szCs w:val="24"/>
        </w:rPr>
        <w:lastRenderedPageBreak/>
        <w:t>bune”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care vine să consolideze și să susțină dezvoltarea sectorului de tineret, precum și să susțină inițiativele tinerilor. </w:t>
      </w:r>
    </w:p>
    <w:p w14:paraId="308223F8" w14:textId="77777777" w:rsidR="00485A97" w:rsidRDefault="00485A97">
      <w:pPr>
        <w:spacing w:before="12" w:after="0" w:line="240" w:lineRule="auto"/>
        <w:ind w:right="1"/>
        <w:jc w:val="both"/>
        <w:rPr>
          <w:rFonts w:ascii="Times New Roman" w:eastAsia="Times New Roman" w:hAnsi="Times New Roman" w:cs="Times New Roman"/>
          <w:sz w:val="24"/>
          <w:szCs w:val="24"/>
        </w:rPr>
      </w:pPr>
    </w:p>
    <w:p w14:paraId="0BAAA103" w14:textId="77777777" w:rsidR="00485A97" w:rsidRDefault="00976C54">
      <w:p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Luate împreună, toate politicile naționale și cele existente la nivel internațional vin să complimenteze și să unifice eforturile în dezvoltarea sectorului de tineret și asigură o viziune comună pentru documentele strategice de dezvoltare a sectorului de tineret din Moldova. </w:t>
      </w:r>
    </w:p>
    <w:p w14:paraId="2BEFA13F" w14:textId="77777777" w:rsidR="00485A97" w:rsidRDefault="00485A97">
      <w:pPr>
        <w:spacing w:after="0" w:line="240" w:lineRule="auto"/>
        <w:rPr>
          <w:rFonts w:ascii="Times New Roman" w:eastAsia="Times New Roman" w:hAnsi="Times New Roman" w:cs="Times New Roman"/>
          <w:b/>
          <w:sz w:val="24"/>
          <w:szCs w:val="24"/>
        </w:rPr>
      </w:pPr>
    </w:p>
    <w:p w14:paraId="2309A75C" w14:textId="77777777" w:rsidR="00485A97" w:rsidRDefault="00976C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ANALIZA SITUAȚIEI</w:t>
      </w:r>
    </w:p>
    <w:p w14:paraId="4466341C" w14:textId="77777777" w:rsidR="00485A97" w:rsidRDefault="00976C54">
      <w:pPr>
        <w:spacing w:before="23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Context demografic</w:t>
      </w:r>
    </w:p>
    <w:p w14:paraId="1FE9FF26" w14:textId="77777777" w:rsidR="00485A97" w:rsidRDefault="00976C54">
      <w:pPr>
        <w:spacing w:before="23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Capitalul uman reprezintă pentru Republica Moldova resursa de bază a dezvoltării pe termen lung. Capacitatea de a transforma tinerii în  actori imperativi la dezvoltarea socio-economică a statului depinde în mare măsură de calitatea sistemului educațional național</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dar și de existența infrastructurii ce va asigura participarea semnificativă a tinerilor, transformându-i astfel în actori activi a</w:t>
      </w:r>
      <w:r>
        <w:rPr>
          <w:rFonts w:ascii="Times New Roman" w:eastAsia="Times New Roman" w:hAnsi="Times New Roman" w:cs="Times New Roman"/>
          <w:sz w:val="24"/>
          <w:szCs w:val="24"/>
          <w:highlight w:val="white"/>
        </w:rPr>
        <w:t>i</w:t>
      </w:r>
      <w:r>
        <w:rPr>
          <w:rFonts w:ascii="Times New Roman" w:eastAsia="Times New Roman" w:hAnsi="Times New Roman" w:cs="Times New Roman"/>
          <w:color w:val="000000"/>
          <w:sz w:val="24"/>
          <w:szCs w:val="24"/>
          <w:highlight w:val="white"/>
        </w:rPr>
        <w:t xml:space="preserve"> dezvoltării comunitare. </w:t>
      </w:r>
    </w:p>
    <w:p w14:paraId="6EEE1AA3" w14:textId="77777777" w:rsidR="00485A97" w:rsidRDefault="00976C54">
      <w:pPr>
        <w:spacing w:before="23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Noțiunea de tânăr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conform cadrului legal național, o constituie persoanele cu vârsta cuprinsă între 14 și 35 de ani. Numărul populației cu reședința obișnuită la 1 ianuarie 2022 a constituit 2603,8 mii persoane</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din care 670,9 mii sau 25,8% sunt tineri cu vârsta 14-34 ani, din care 49,3% femei și 50,7% bărbați. </w:t>
      </w:r>
    </w:p>
    <w:p w14:paraId="3F80C425" w14:textId="77777777" w:rsidR="00485A97" w:rsidRDefault="00976C54">
      <w:pPr>
        <w:spacing w:before="23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Dacă în anul 2019 tinerii în vârstă de la 14 până la 35 de ani au constituit 743,2 mii sau 27,7% din totalul populației, către anul 2035 se prognozează o diminuare a contingentului tinerilor până la 575</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5 mii persoane și 21,7% din totalul populației. Aceste schimbări pot provoca creșterea vulnerabilității tinerilor prin reprezentanța scăzută în organele de conducere la nivel central și local, ignorarea intereselor și necesităților acestora.</w:t>
      </w:r>
    </w:p>
    <w:p w14:paraId="49F18CB1" w14:textId="77777777" w:rsidR="00485A97" w:rsidRDefault="00976C54">
      <w:pPr>
        <w:spacing w:before="211"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În perioada 2018-2022, populația cu vârsta de 14-19 ani a scăzut cu 5,2 mii persoane (sau cu 3,0%), iar ponderea acestei categorii în numărul total al tinerilor cu vârsta 14-34 ani s-a majorat de la 22,1% la până la 25,0%. Numărul persoanelor în vârstă de 20-24 ani a scăzut cu 45,5 mii de persoane (sau cu 26%), ponderea acestora fiind în descreștere în perioada analizată cu 3 p.p., iar a celor în vârstă de 25-29 de ani cu 43,3 mii (respectiv cu 20,5% și cu 1,9 p.p.). Numărul tinerilor cu vârsta de 30-34 de ani s-a diminuat cu 20,0 mii (sau cu 8,9%), ponderea acestora fiind în creștere în perioada analizată cu 2,0 p.p. </w:t>
      </w:r>
    </w:p>
    <w:p w14:paraId="52AF468E"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293290C6"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Conform rezultatelor Anchetei Forței de Muncă, în raport cu statutul activității curente peste o treime din tinerii cu vârsta de 15-34 ani au fost ocupați (37,3% sau circa 244 mii de persoane), adică aveau un loc de muncă, circa 2,0% (11 mii) erau șomeri și restul, 61,0% (peste 398 de mii), erau inactivi din punct de vedere economic (persoane în afara forței de muncă). În rândul celor din urmă, peste 42,0% erau încadrați în sistemul național de învățământ.</w:t>
      </w:r>
    </w:p>
    <w:p w14:paraId="13E8D7F2"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66B1147C"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Conform datelor BNS, în anul 2021, fiecare al șaselea tânăr în vârstă de 15-24 ani (17,2%), peste un sfert din tinerii de 15-29 ani (26,4%) și aproape fiecare a treia persoană în vârstă de 15-34 ani (30,4%) nu au fost cuprinși nici în procesul de educație (formal sau </w:t>
      </w:r>
      <w:r>
        <w:rPr>
          <w:rFonts w:ascii="Times New Roman" w:eastAsia="Times New Roman" w:hAnsi="Times New Roman" w:cs="Times New Roman"/>
          <w:sz w:val="24"/>
          <w:szCs w:val="24"/>
        </w:rPr>
        <w:t>non-formal</w:t>
      </w:r>
      <w:r>
        <w:rPr>
          <w:rFonts w:ascii="Times New Roman" w:eastAsia="Times New Roman" w:hAnsi="Times New Roman" w:cs="Times New Roman"/>
          <w:color w:val="000000"/>
          <w:sz w:val="24"/>
          <w:szCs w:val="24"/>
        </w:rPr>
        <w:t xml:space="preserve">), nici în ocupare. Fenomenul </w:t>
      </w:r>
      <w:r>
        <w:rPr>
          <w:rFonts w:ascii="Times New Roman" w:eastAsia="Times New Roman" w:hAnsi="Times New Roman" w:cs="Times New Roman"/>
          <w:color w:val="000000"/>
          <w:sz w:val="24"/>
          <w:szCs w:val="24"/>
        </w:rPr>
        <w:lastRenderedPageBreak/>
        <w:t>tinerilor NEET în Republica Moldova este unul destul de</w:t>
      </w:r>
      <w:r>
        <w:rPr>
          <w:rFonts w:ascii="Times New Roman" w:eastAsia="Times New Roman" w:hAnsi="Times New Roman" w:cs="Times New Roman"/>
          <w:sz w:val="24"/>
          <w:szCs w:val="24"/>
        </w:rPr>
        <w:t xml:space="preserve"> accentuat. În creștere cu 3% față de anul 2020, rata tinerilor NEET în Republica Moldova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una din cele mai ridicate</w:t>
      </w:r>
      <w:r>
        <w:rPr>
          <w:rFonts w:ascii="Times New Roman" w:eastAsia="Times New Roman" w:hAnsi="Times New Roman" w:cs="Times New Roman"/>
          <w:color w:val="000000"/>
          <w:sz w:val="24"/>
          <w:szCs w:val="24"/>
        </w:rPr>
        <w:t xml:space="preserve"> din Europa. </w:t>
      </w:r>
    </w:p>
    <w:p w14:paraId="326BD461"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6DBF6653" w14:textId="77777777" w:rsidR="00485A97" w:rsidRDefault="00976C54">
      <w:pPr>
        <w:shd w:val="clear" w:color="auto" w:fill="FFFFFF"/>
        <w:spacing w:after="1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Majoritatea familiilor formate doar din membri tineri sunt amplasate în mediul urban, fiind atestat un fenomen de migrație al tinerilor din mediul rural generat de lipsa oportunităților de educație, profesionalizare și angajare, precum și nivelul scăzut de trai. </w:t>
      </w:r>
    </w:p>
    <w:p w14:paraId="62C57D3B" w14:textId="77777777" w:rsidR="00485A97" w:rsidRDefault="00976C54">
      <w:pPr>
        <w:shd w:val="clear" w:color="auto" w:fill="FFFFFF"/>
        <w:spacing w:after="1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Astfel, în cazul e</w:t>
      </w:r>
      <w:r>
        <w:rPr>
          <w:rFonts w:ascii="Times New Roman" w:eastAsia="Times New Roman" w:hAnsi="Times New Roman" w:cs="Times New Roman"/>
          <w:sz w:val="24"/>
          <w:szCs w:val="24"/>
        </w:rPr>
        <w:t>z</w:t>
      </w:r>
      <w:r>
        <w:rPr>
          <w:rFonts w:ascii="Times New Roman" w:eastAsia="Times New Roman" w:hAnsi="Times New Roman" w:cs="Times New Roman"/>
          <w:color w:val="000000"/>
          <w:sz w:val="24"/>
          <w:szCs w:val="24"/>
        </w:rPr>
        <w:t>itării</w:t>
      </w:r>
      <w:r>
        <w:rPr>
          <w:rFonts w:ascii="Times New Roman" w:eastAsia="Times New Roman" w:hAnsi="Times New Roman" w:cs="Times New Roman"/>
          <w:sz w:val="24"/>
          <w:szCs w:val="24"/>
        </w:rPr>
        <w:t xml:space="preserve"> și lipsei de investiții pentru consolidarea sectorului de tineret din Republica Moldova, în special din mediul rural, declinul demografic se va resimți și mai  mult în anii ce vin, așa cum fluxul de migrație a tinerilor va continua în ritm accelerat în lipsa oportunităților suficiente de dezvoltare la ei acasă. Efectele negative ale migrației deja se resimt destul de mult în economia țării, sistemul de protecție social și educație. </w:t>
      </w:r>
    </w:p>
    <w:p w14:paraId="4D621CAB" w14:textId="77777777" w:rsidR="00485A97" w:rsidRDefault="00976C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Capacitățile sectorului de tineret</w:t>
      </w:r>
    </w:p>
    <w:p w14:paraId="47F2BCF7" w14:textId="77777777" w:rsidR="00485A97" w:rsidRDefault="00485A97">
      <w:pPr>
        <w:spacing w:after="0" w:line="240" w:lineRule="auto"/>
        <w:jc w:val="both"/>
        <w:rPr>
          <w:rFonts w:ascii="Times New Roman" w:eastAsia="Times New Roman" w:hAnsi="Times New Roman" w:cs="Times New Roman"/>
          <w:b/>
          <w:sz w:val="24"/>
          <w:szCs w:val="24"/>
        </w:rPr>
      </w:pPr>
    </w:p>
    <w:p w14:paraId="46481856" w14:textId="77777777" w:rsidR="00485A97" w:rsidRDefault="00976C54">
      <w:pPr>
        <w:pBdr>
          <w:top w:val="nil"/>
          <w:left w:val="nil"/>
          <w:bottom w:val="nil"/>
          <w:right w:val="nil"/>
          <w:between w:val="nil"/>
        </w:pBdr>
        <w:spacing w:after="0" w:line="240" w:lineRule="auto"/>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Centrele de tineret reprezintă unele dintre principalele instituții de prestare a programelor orientate pe dezvoltarea multilaterală a tinerilor</w:t>
      </w:r>
      <w:r>
        <w:rPr>
          <w:rFonts w:ascii="Times New Roman" w:eastAsia="Times New Roman" w:hAnsi="Times New Roman" w:cs="Times New Roman"/>
          <w:color w:val="000000"/>
          <w:sz w:val="24"/>
          <w:szCs w:val="24"/>
        </w:rPr>
        <w:t>. Programul de dezvoltare a Centrelor de tineret, realizat în perioada 2017-2022 de autoritatea centrală cu competențe în do</w:t>
      </w:r>
      <w:r>
        <w:rPr>
          <w:rFonts w:ascii="Times New Roman" w:eastAsia="Times New Roman" w:hAnsi="Times New Roman" w:cs="Times New Roman"/>
          <w:sz w:val="24"/>
          <w:szCs w:val="24"/>
        </w:rPr>
        <w:t>meniu</w:t>
      </w:r>
      <w:r>
        <w:rPr>
          <w:rFonts w:ascii="Times New Roman" w:eastAsia="Times New Roman" w:hAnsi="Times New Roman" w:cs="Times New Roman"/>
          <w:color w:val="000000"/>
          <w:sz w:val="24"/>
          <w:szCs w:val="24"/>
        </w:rPr>
        <w:t xml:space="preserve">, a impulsionat crearea a 22 de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entre raionale și 22 de filiale locale ale acestora. Ca parte a Programului, a fost acordat suport continuu pentru dezvoltarea bazei tehnico-materiale, profesionalizarea lucrătorilor de tineret și susținerea financiară printr-un mecanism de paritate a inițiativelor tinerilor prin intermediul granturilor nerambursabile. Modelul de organizare și funcționare a instituțiilor este setat de Guvern, preluat și implementat de autoritățile publice locale. </w:t>
      </w:r>
    </w:p>
    <w:p w14:paraId="56DA7574" w14:textId="77777777" w:rsidR="00485A97" w:rsidRDefault="00485A97">
      <w:pPr>
        <w:pBdr>
          <w:top w:val="nil"/>
          <w:left w:val="nil"/>
          <w:bottom w:val="nil"/>
          <w:right w:val="nil"/>
          <w:between w:val="nil"/>
        </w:pBdr>
        <w:spacing w:after="0" w:line="240" w:lineRule="auto"/>
        <w:ind w:right="45"/>
        <w:jc w:val="both"/>
        <w:rPr>
          <w:rFonts w:ascii="Times New Roman" w:eastAsia="Times New Roman" w:hAnsi="Times New Roman" w:cs="Times New Roman"/>
          <w:color w:val="000000"/>
          <w:sz w:val="24"/>
          <w:szCs w:val="24"/>
        </w:rPr>
      </w:pPr>
    </w:p>
    <w:p w14:paraId="15D8D7A8" w14:textId="77777777" w:rsidR="00485A97" w:rsidRDefault="00976C54">
      <w:pPr>
        <w:pBdr>
          <w:top w:val="nil"/>
          <w:left w:val="nil"/>
          <w:bottom w:val="nil"/>
          <w:right w:val="nil"/>
          <w:between w:val="nil"/>
        </w:pBdr>
        <w:spacing w:after="0" w:line="240" w:lineRule="auto"/>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 momentul actual, Centrele de tineret prestează un număr restrâns de programe (servicii) pentru tineri.</w:t>
      </w:r>
      <w:r>
        <w:rPr>
          <w:rFonts w:ascii="Times New Roman" w:eastAsia="Times New Roman" w:hAnsi="Times New Roman" w:cs="Times New Roman"/>
          <w:color w:val="000000"/>
          <w:sz w:val="24"/>
          <w:szCs w:val="24"/>
        </w:rPr>
        <w:t xml:space="preserve"> Dezvoltarea și extinderea programelor (serviciilor) pentru tineri prestate prin intermediul centrelor a fost direct dependentă de constituirea unei instituții responsabile de certificarea și profesionalizarea lucrătorilor de tineret. În lipsa unei instituții funcționale, poziția și salarizarea lucrătorilor de tineret a devenit una puțin atractivă pentru a asigura o stabilitate de cadre, ceea ce determină și calitatea programelor și serviciilor prestate. În esență, proiectarea rezultatelor scontate pe componenta asigurării cu programe calitative de tineret nu a fost concentrată pe construcția unui sistem sustenabil administrativ și financiar de instituții, </w:t>
      </w:r>
      <w:r>
        <w:rPr>
          <w:rFonts w:ascii="Times New Roman" w:eastAsia="Times New Roman" w:hAnsi="Times New Roman" w:cs="Times New Roman"/>
          <w:sz w:val="24"/>
          <w:szCs w:val="24"/>
        </w:rPr>
        <w:t>concentrând</w:t>
      </w:r>
      <w:r>
        <w:rPr>
          <w:rFonts w:ascii="Times New Roman" w:eastAsia="Times New Roman" w:hAnsi="Times New Roman" w:cs="Times New Roman"/>
          <w:color w:val="000000"/>
          <w:sz w:val="24"/>
          <w:szCs w:val="24"/>
        </w:rPr>
        <w:t xml:space="preserve"> eforturile pe instrumentele de suport pentru stimularea autorităților publice locale de a înființa centre. Acțiunile planificate în ciclul strategic precedent nu au condus la atingerea obiectivului setat pentru anul 2020 de acoperire în proporție de 90% din tineri cu programe (servicii) calitative de tineret. </w:t>
      </w:r>
    </w:p>
    <w:p w14:paraId="3AD60CD1" w14:textId="77777777" w:rsidR="00485A97" w:rsidRDefault="00485A97">
      <w:pPr>
        <w:spacing w:after="0" w:line="240" w:lineRule="auto"/>
        <w:jc w:val="both"/>
        <w:rPr>
          <w:rFonts w:ascii="Times New Roman" w:eastAsia="Times New Roman" w:hAnsi="Times New Roman" w:cs="Times New Roman"/>
          <w:b/>
          <w:sz w:val="24"/>
          <w:szCs w:val="24"/>
        </w:rPr>
      </w:pPr>
    </w:p>
    <w:p w14:paraId="40B67E06" w14:textId="77777777" w:rsidR="00485A97" w:rsidRDefault="00976C54">
      <w:pPr>
        <w:spacing w:after="0" w:line="240" w:lineRule="auto"/>
        <w:jc w:val="both"/>
        <w:rPr>
          <w:rFonts w:ascii="Times New Roman" w:eastAsia="Times New Roman" w:hAnsi="Times New Roman" w:cs="Times New Roman"/>
          <w:color w:val="1F4E79"/>
          <w:sz w:val="24"/>
          <w:szCs w:val="24"/>
        </w:rPr>
      </w:pPr>
      <w:r>
        <w:rPr>
          <w:rFonts w:ascii="Times New Roman" w:eastAsia="Times New Roman" w:hAnsi="Times New Roman" w:cs="Times New Roman"/>
          <w:b/>
          <w:sz w:val="24"/>
          <w:szCs w:val="24"/>
        </w:rPr>
        <w:t xml:space="preserve">Organizațiile de și pentru tineret, ca structuri distincte de asigurare a dezvoltării tinerilor, </w:t>
      </w:r>
      <w:r>
        <w:rPr>
          <w:rFonts w:ascii="Times New Roman" w:eastAsia="Times New Roman" w:hAnsi="Times New Roman" w:cs="Times New Roman"/>
          <w:b/>
          <w:color w:val="000000"/>
          <w:sz w:val="24"/>
          <w:szCs w:val="24"/>
        </w:rPr>
        <w:t xml:space="preserve">se confruntă cu provocări în ce privește dezvoltarea lor instituțională. </w:t>
      </w:r>
      <w:r>
        <w:rPr>
          <w:rFonts w:ascii="Times New Roman" w:eastAsia="Times New Roman" w:hAnsi="Times New Roman" w:cs="Times New Roman"/>
          <w:color w:val="000000"/>
          <w:sz w:val="24"/>
          <w:szCs w:val="24"/>
        </w:rPr>
        <w:t xml:space="preserve">Potrivit unui </w:t>
      </w:r>
      <w:r>
        <w:rPr>
          <w:rFonts w:ascii="Times New Roman" w:eastAsia="Times New Roman" w:hAnsi="Times New Roman" w:cs="Times New Roman"/>
          <w:color w:val="171717"/>
          <w:sz w:val="24"/>
          <w:szCs w:val="24"/>
        </w:rPr>
        <w:t>studiu privind dezvoltarea sectorului de tineret</w:t>
      </w:r>
      <w:r>
        <w:rPr>
          <w:rFonts w:ascii="Times New Roman" w:eastAsia="Times New Roman" w:hAnsi="Times New Roman" w:cs="Times New Roman"/>
          <w:color w:val="171717"/>
          <w:sz w:val="24"/>
          <w:szCs w:val="24"/>
          <w:vertAlign w:val="superscript"/>
        </w:rPr>
        <w:footnoteReference w:id="7"/>
      </w:r>
      <w:r>
        <w:rPr>
          <w:rFonts w:ascii="Times New Roman" w:eastAsia="Times New Roman" w:hAnsi="Times New Roman" w:cs="Times New Roman"/>
          <w:color w:val="171717"/>
          <w:sz w:val="24"/>
          <w:szCs w:val="24"/>
        </w:rPr>
        <w:t xml:space="preserve">, organizațiile se poziționează la un nivel mediu în ce privește capacitățile de planificare strategică, management și guvernare, advocacy. Conform raportului, 22% din organizațiile evaluate au un sistem de Evaluare și Monitorizare care să conțină indicatori bine definiți și sisteme de colectare și analiză a datelor, fiind dublu mai mare față de anul 2013 (10%). Totodată, doar 36% dintre organizații au legături sau parteneriate cu factorii de decizie de nivel local/ național sau cu structurile guvernamentale. Nivelul dezvoltării organizaționale a fost evaluat pe o scală de la 0 la 4, fiecare coeficient fiind </w:t>
      </w:r>
      <w:r>
        <w:rPr>
          <w:rFonts w:ascii="Times New Roman" w:eastAsia="Times New Roman" w:hAnsi="Times New Roman" w:cs="Times New Roman"/>
          <w:sz w:val="24"/>
          <w:szCs w:val="24"/>
        </w:rPr>
        <w:t xml:space="preserve">media unui set de indicatori relevanți domeniului de analiză. </w:t>
      </w:r>
    </w:p>
    <w:p w14:paraId="340D8CB0" w14:textId="77777777" w:rsidR="00485A97" w:rsidRDefault="00485A97">
      <w:pPr>
        <w:spacing w:after="0" w:line="240" w:lineRule="auto"/>
        <w:jc w:val="both"/>
        <w:rPr>
          <w:rFonts w:ascii="Times New Roman" w:eastAsia="Times New Roman" w:hAnsi="Times New Roman" w:cs="Times New Roman"/>
          <w:color w:val="1F4E79"/>
          <w:sz w:val="24"/>
          <w:szCs w:val="24"/>
        </w:rPr>
      </w:pPr>
    </w:p>
    <w:p w14:paraId="06DB13FB" w14:textId="77777777" w:rsidR="00485A97" w:rsidRDefault="00485A97">
      <w:pPr>
        <w:spacing w:after="0" w:line="240" w:lineRule="auto"/>
        <w:jc w:val="both"/>
        <w:rPr>
          <w:rFonts w:ascii="Times New Roman" w:eastAsia="Times New Roman" w:hAnsi="Times New Roman" w:cs="Times New Roman"/>
          <w:color w:val="1F4E79"/>
          <w:sz w:val="24"/>
          <w:szCs w:val="24"/>
        </w:rPr>
      </w:pPr>
    </w:p>
    <w:p w14:paraId="1D9A4812" w14:textId="77777777" w:rsidR="00485A97" w:rsidRDefault="00976C54">
      <w:pPr>
        <w:spacing w:after="0" w:line="240" w:lineRule="auto"/>
        <w:jc w:val="both"/>
        <w:rPr>
          <w:rFonts w:ascii="Times New Roman" w:eastAsia="Times New Roman" w:hAnsi="Times New Roman" w:cs="Times New Roman"/>
          <w:color w:val="1F4E79"/>
          <w:sz w:val="24"/>
          <w:szCs w:val="24"/>
        </w:rPr>
      </w:pPr>
      <w:r>
        <w:rPr>
          <w:rFonts w:ascii="Times New Roman" w:eastAsia="Times New Roman" w:hAnsi="Times New Roman" w:cs="Times New Roman"/>
          <w:noProof/>
          <w:color w:val="1F4E79"/>
          <w:sz w:val="24"/>
          <w:szCs w:val="24"/>
          <w:lang w:val="en-US" w:eastAsia="en-US"/>
        </w:rPr>
        <w:lastRenderedPageBreak/>
        <w:drawing>
          <wp:inline distT="114300" distB="114300" distL="114300" distR="114300" wp14:anchorId="716535C3" wp14:editId="52CC7EFD">
            <wp:extent cx="5838825" cy="704850"/>
            <wp:effectExtent l="0" t="0" r="0" b="0"/>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838825" cy="704850"/>
                    </a:xfrm>
                    <a:prstGeom prst="rect">
                      <a:avLst/>
                    </a:prstGeom>
                    <a:ln/>
                  </pic:spPr>
                </pic:pic>
              </a:graphicData>
            </a:graphic>
          </wp:inline>
        </w:drawing>
      </w:r>
    </w:p>
    <w:p w14:paraId="42CBA3BF" w14:textId="77777777" w:rsidR="00485A97" w:rsidRDefault="00485A97">
      <w:pPr>
        <w:spacing w:after="0" w:line="240" w:lineRule="auto"/>
        <w:jc w:val="both"/>
        <w:rPr>
          <w:rFonts w:ascii="Times New Roman" w:eastAsia="Times New Roman" w:hAnsi="Times New Roman" w:cs="Times New Roman"/>
          <w:color w:val="1F4E79"/>
          <w:sz w:val="24"/>
          <w:szCs w:val="24"/>
        </w:rPr>
      </w:pPr>
    </w:p>
    <w:p w14:paraId="19559BA0" w14:textId="77777777" w:rsidR="00485A97" w:rsidRDefault="00485A97">
      <w:pPr>
        <w:spacing w:after="0" w:line="240" w:lineRule="auto"/>
        <w:jc w:val="both"/>
        <w:rPr>
          <w:rFonts w:ascii="Times New Roman" w:eastAsia="Times New Roman" w:hAnsi="Times New Roman" w:cs="Times New Roman"/>
          <w:color w:val="1F4E79"/>
          <w:sz w:val="24"/>
          <w:szCs w:val="24"/>
        </w:rPr>
      </w:pPr>
    </w:p>
    <w:p w14:paraId="043FF650" w14:textId="77777777" w:rsidR="00485A97" w:rsidRDefault="00976C54">
      <w:pPr>
        <w:spacing w:after="0" w:line="240" w:lineRule="auto"/>
        <w:jc w:val="both"/>
        <w:rPr>
          <w:rFonts w:ascii="Times New Roman" w:eastAsia="Times New Roman" w:hAnsi="Times New Roman" w:cs="Times New Roman"/>
          <w:i/>
          <w:color w:val="1F4E79"/>
          <w:sz w:val="24"/>
          <w:szCs w:val="24"/>
        </w:rPr>
      </w:pPr>
      <w:r>
        <w:rPr>
          <w:rFonts w:ascii="Times New Roman" w:eastAsia="Times New Roman" w:hAnsi="Times New Roman" w:cs="Times New Roman"/>
          <w:i/>
          <w:color w:val="1F4E79"/>
          <w:sz w:val="24"/>
          <w:szCs w:val="24"/>
        </w:rPr>
        <w:t>F1. Evoluția dezvoltării instituționale a organizațiilor din sectorul asociativ</w:t>
      </w:r>
    </w:p>
    <w:p w14:paraId="24D8FC7C" w14:textId="77777777" w:rsidR="00485A97" w:rsidRDefault="00976C54">
      <w:pPr>
        <w:spacing w:after="0" w:line="240" w:lineRule="auto"/>
        <w:rPr>
          <w:rFonts w:ascii="Times New Roman" w:eastAsia="Times New Roman" w:hAnsi="Times New Roman" w:cs="Times New Roman"/>
          <w:i/>
          <w:color w:val="1F4E79"/>
          <w:sz w:val="24"/>
          <w:szCs w:val="24"/>
        </w:rPr>
      </w:pPr>
      <w:r>
        <w:rPr>
          <w:rFonts w:ascii="Times New Roman" w:eastAsia="Times New Roman" w:hAnsi="Times New Roman" w:cs="Times New Roman"/>
          <w:i/>
          <w:color w:val="1F4E79"/>
          <w:sz w:val="24"/>
          <w:szCs w:val="24"/>
        </w:rPr>
        <w:t>Sursa: CNTM</w:t>
      </w:r>
    </w:p>
    <w:p w14:paraId="335AD4F9" w14:textId="77777777" w:rsidR="00485A97" w:rsidRDefault="00485A97">
      <w:pPr>
        <w:spacing w:after="0" w:line="240" w:lineRule="auto"/>
        <w:jc w:val="both"/>
        <w:rPr>
          <w:rFonts w:ascii="Times New Roman" w:eastAsia="Times New Roman" w:hAnsi="Times New Roman" w:cs="Times New Roman"/>
          <w:b/>
          <w:sz w:val="24"/>
          <w:szCs w:val="24"/>
        </w:rPr>
      </w:pPr>
    </w:p>
    <w:p w14:paraId="3EA92993"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Totodată, capacitatea financiară și organizațională a structurilor de tineret continuă a fi limitată</w:t>
      </w:r>
      <w:r>
        <w:rPr>
          <w:rFonts w:ascii="Times New Roman" w:eastAsia="Times New Roman" w:hAnsi="Times New Roman" w:cs="Times New Roman"/>
          <w:color w:val="000000"/>
          <w:sz w:val="24"/>
          <w:szCs w:val="24"/>
        </w:rPr>
        <w:t>. În ultimii ani, fortificarea capacităților structurilor de și pentru tineret s-a realizat prin programe de capacitare și dezvoltare instituțională, însă a lipsit abordarea sistemică, acestea fiind realizate preponderent prin programul de granturi. În pofida eforturilor depuse, capacitățile financiare ale organizațiilor sunt încă limitată. Conform studiului privind dezvoltarea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sectorului asociativ de tineret, coeficientul pentru viabilitatea financiară a organizațiilor a crescut de la 1.35 în 2013 la 2.4 în 2018 (măsurată pe o scală de la 0 la 4), ceea ce indică un nivel mediu de capacitate financiară. Același studiu relevă că actualmente d</w:t>
      </w:r>
      <w:r>
        <w:rPr>
          <w:rFonts w:ascii="Times New Roman" w:eastAsia="Times New Roman" w:hAnsi="Times New Roman" w:cs="Times New Roman"/>
          <w:sz w:val="24"/>
          <w:szCs w:val="24"/>
        </w:rPr>
        <w:t xml:space="preserve">oar 22,7% dintre organizații au procesul de bugetare integrat în planificarea strategică și operațională anuală. </w:t>
      </w:r>
      <w:r>
        <w:rPr>
          <w:rFonts w:ascii="Times New Roman" w:eastAsia="Times New Roman" w:hAnsi="Times New Roman" w:cs="Times New Roman"/>
          <w:color w:val="000000"/>
          <w:sz w:val="24"/>
          <w:szCs w:val="24"/>
        </w:rPr>
        <w:t xml:space="preserve">Capacitatea financiară limitată a structurilor de tineret impune furnizarea de servicii / activități de și pentru tineret pe proiecte mici și durabilitate și impact scăzut pentru tineri și comunitate. </w:t>
      </w:r>
    </w:p>
    <w:p w14:paraId="7AACD36D" w14:textId="77777777" w:rsidR="00485A97" w:rsidRDefault="00485A97">
      <w:pPr>
        <w:spacing w:after="0" w:line="240" w:lineRule="auto"/>
        <w:jc w:val="both"/>
        <w:rPr>
          <w:rFonts w:ascii="Times New Roman" w:eastAsia="Times New Roman" w:hAnsi="Times New Roman" w:cs="Times New Roman"/>
          <w:b/>
          <w:sz w:val="24"/>
          <w:szCs w:val="24"/>
        </w:rPr>
      </w:pPr>
    </w:p>
    <w:p w14:paraId="5337F36F"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Calitatea și eficiența lucrului de tineret depinde de capacitatea resurselor umane din sectorul de tineret, care se dovedește a fi redusă</w:t>
      </w:r>
      <w:r>
        <w:rPr>
          <w:rFonts w:ascii="Times New Roman" w:eastAsia="Times New Roman" w:hAnsi="Times New Roman" w:cs="Times New Roman"/>
          <w:color w:val="000000"/>
          <w:sz w:val="24"/>
          <w:szCs w:val="24"/>
        </w:rPr>
        <w:t>. Insuficiența de cadre, nivelul redus de competențe în lucrul de tineret, precum și fluctuația sporită a resurselor umane în domeniul ST (din motivul salariilor neatractive, nesiguranței și neclarității privind durabilitatea ocupației de lucrător/specialist în lucrul de tineret ș.a.) subminează eficiența lucrului de tineret. O altă problemă ține de faptul că o bună parte din specialiștii și lucrătorii de tineret vin din diferite domenii, neavând o pregătire specială și calificările necesare. Acțiunile orientate spre creșterea competențelor capitalului uman din ST s-au intensificat în ultimii ani, dar contextul socio-economic și politic al țării a diminuat din sustenabilitatea eforturilor</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w:t>
      </w:r>
    </w:p>
    <w:p w14:paraId="2482C676" w14:textId="77777777" w:rsidR="00485A97" w:rsidRDefault="00485A97">
      <w:pPr>
        <w:spacing w:after="0" w:line="240" w:lineRule="auto"/>
        <w:jc w:val="both"/>
        <w:rPr>
          <w:rFonts w:ascii="Times New Roman" w:eastAsia="Times New Roman" w:hAnsi="Times New Roman" w:cs="Times New Roman"/>
          <w:b/>
          <w:color w:val="000000"/>
          <w:sz w:val="24"/>
          <w:szCs w:val="24"/>
        </w:rPr>
      </w:pPr>
    </w:p>
    <w:p w14:paraId="48046E3D"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Lacunele legate de capacitatea capitalului uman implicat în lucrul de tineret se mențin în timp.</w:t>
      </w:r>
      <w:r>
        <w:rPr>
          <w:rFonts w:ascii="Times New Roman" w:eastAsia="Times New Roman" w:hAnsi="Times New Roman" w:cs="Times New Roman"/>
          <w:color w:val="000000"/>
          <w:sz w:val="24"/>
          <w:szCs w:val="24"/>
        </w:rPr>
        <w:t xml:space="preserve"> Analiza comprehensivă a sectorului de tineret și evaluările anterioare vorbesc despre persistența lacunelor sistemice legate de insuficiența specialiștilor în </w:t>
      </w:r>
      <w:r>
        <w:rPr>
          <w:rFonts w:ascii="Times New Roman" w:eastAsia="Times New Roman" w:hAnsi="Times New Roman" w:cs="Times New Roman"/>
          <w:sz w:val="24"/>
          <w:szCs w:val="24"/>
        </w:rPr>
        <w:t>sectorul de tineret</w:t>
      </w:r>
      <w:r>
        <w:rPr>
          <w:rFonts w:ascii="Times New Roman" w:eastAsia="Times New Roman" w:hAnsi="Times New Roman" w:cs="Times New Roman"/>
          <w:color w:val="000000"/>
          <w:sz w:val="24"/>
          <w:szCs w:val="24"/>
        </w:rPr>
        <w:t xml:space="preserve"> și nivelul redus de profesionalism adaptat la nevoile specifice generației tinere; lipsa unui cadru reglementat de dezvoltare a capacității manageriale în creșterea competenței și performanței angajaților în </w:t>
      </w:r>
      <w:r>
        <w:rPr>
          <w:rFonts w:ascii="Times New Roman" w:eastAsia="Times New Roman" w:hAnsi="Times New Roman" w:cs="Times New Roman"/>
          <w:sz w:val="24"/>
          <w:szCs w:val="24"/>
        </w:rPr>
        <w:t>sector</w:t>
      </w:r>
      <w:r>
        <w:rPr>
          <w:rFonts w:ascii="Times New Roman" w:eastAsia="Times New Roman" w:hAnsi="Times New Roman" w:cs="Times New Roman"/>
          <w:color w:val="000000"/>
          <w:sz w:val="24"/>
          <w:szCs w:val="24"/>
        </w:rPr>
        <w:t xml:space="preserve"> (standarde minime de calitate etc.); lipsa unui cadru de evaluare a performanței angajaților din structurile orientate pe activitatea și serviciile pentru tineri; capacitate profesională redusă de a presta servicii și activități echitabile etc.</w:t>
      </w:r>
    </w:p>
    <w:p w14:paraId="6D05FE0A"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Constrângerile legate de capacitățile instituționale și resursele umane determină nivelul redus de acces al tinerilor la servicii. </w:t>
      </w:r>
      <w:r>
        <w:rPr>
          <w:rFonts w:ascii="Times New Roman" w:eastAsia="Times New Roman" w:hAnsi="Times New Roman" w:cs="Times New Roman"/>
          <w:sz w:val="24"/>
          <w:szCs w:val="24"/>
        </w:rPr>
        <w:t>Potrivit unui studiu</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privind percepțiile și situația tinerilor din Moldova, realizat de către OECD în 2016, doar 25,3% dintre aceștia cunoșteau despre existența centrelor de tineret, dintre care doar 16,3% au beneficiat de servicii. Circa 70% dintre tinerii care nu au beneficiat anterior de serviciile unui Centru de tineret motivează prin faptul că nu au asemenea necesitate. Aceasta presupune că: fie serviciile și modalitatea de prestare a lor nu corespunde nevoilor reale ale tinerilor, fie nivelul de informare și conștientizare cu privire la conținutul acestora este redus. </w:t>
      </w:r>
      <w:hyperlink r:id="rId10">
        <w:r>
          <w:rPr>
            <w:rFonts w:ascii="Times New Roman" w:eastAsia="Times New Roman" w:hAnsi="Times New Roman" w:cs="Times New Roman"/>
            <w:sz w:val="24"/>
            <w:szCs w:val="24"/>
          </w:rPr>
          <w:t>Studiu</w:t>
        </w:r>
      </w:hyperlink>
      <w:r>
        <w:rPr>
          <w:rFonts w:ascii="Times New Roman" w:eastAsia="Times New Roman" w:hAnsi="Times New Roman" w:cs="Times New Roman"/>
          <w:sz w:val="24"/>
          <w:szCs w:val="24"/>
        </w:rPr>
        <w:t>l privind impactul pandemiei COVID-19 asupra participării tinerilor</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realizat de către Centrul Parteneriat pentru Dezvoltare, atestă că doar 20% dintre tineri manifestă interes față de servicii și simt nevoia de a fi implicați în activități de dezvoltare personală și profesională. Dintre aceștia, doar jumătate au reușit să acceseze serviciile respective. </w:t>
      </w:r>
      <w:r>
        <w:rPr>
          <w:noProof/>
          <w:lang w:val="en-US" w:eastAsia="en-US"/>
        </w:rPr>
        <w:drawing>
          <wp:anchor distT="0" distB="0" distL="114300" distR="114300" simplePos="0" relativeHeight="251658240" behindDoc="0" locked="0" layoutInCell="1" hidden="0" allowOverlap="1" wp14:anchorId="0A308136" wp14:editId="01D9AB2B">
            <wp:simplePos x="0" y="0"/>
            <wp:positionH relativeFrom="column">
              <wp:posOffset>9526</wp:posOffset>
            </wp:positionH>
            <wp:positionV relativeFrom="paragraph">
              <wp:posOffset>2005329</wp:posOffset>
            </wp:positionV>
            <wp:extent cx="6105525" cy="1752600"/>
            <wp:effectExtent l="0" t="0" r="0" b="0"/>
            <wp:wrapTopAndBottom distT="0" distB="0"/>
            <wp:docPr id="129" name="Chart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9EFA458" w14:textId="77777777" w:rsidR="00485A97" w:rsidRDefault="00976C54">
      <w:pPr>
        <w:spacing w:after="0" w:line="240" w:lineRule="auto"/>
        <w:jc w:val="both"/>
        <w:rPr>
          <w:rFonts w:ascii="Times New Roman" w:eastAsia="Times New Roman" w:hAnsi="Times New Roman" w:cs="Times New Roman"/>
          <w:i/>
          <w:color w:val="1F4E79"/>
          <w:sz w:val="24"/>
          <w:szCs w:val="24"/>
        </w:rPr>
      </w:pPr>
      <w:r>
        <w:rPr>
          <w:rFonts w:ascii="Times New Roman" w:eastAsia="Times New Roman" w:hAnsi="Times New Roman" w:cs="Times New Roman"/>
          <w:i/>
          <w:color w:val="1F4E79"/>
          <w:sz w:val="24"/>
          <w:szCs w:val="24"/>
        </w:rPr>
        <w:t xml:space="preserve">F2. Ponderea tinerilor care au avut nevoie şi care au beneficiat de servicii, %    </w:t>
      </w:r>
    </w:p>
    <w:p w14:paraId="19808E3A" w14:textId="77777777" w:rsidR="00485A97" w:rsidRDefault="00976C54">
      <w:pPr>
        <w:spacing w:after="0" w:line="240" w:lineRule="auto"/>
        <w:jc w:val="both"/>
        <w:rPr>
          <w:rFonts w:ascii="Times New Roman" w:eastAsia="Times New Roman" w:hAnsi="Times New Roman" w:cs="Times New Roman"/>
          <w:color w:val="1F4E79"/>
          <w:sz w:val="24"/>
          <w:szCs w:val="24"/>
        </w:rPr>
      </w:pPr>
      <w:r>
        <w:rPr>
          <w:rFonts w:ascii="Times New Roman" w:eastAsia="Times New Roman" w:hAnsi="Times New Roman" w:cs="Times New Roman"/>
          <w:i/>
          <w:color w:val="1F4E79"/>
          <w:sz w:val="24"/>
          <w:szCs w:val="24"/>
        </w:rPr>
        <w:t xml:space="preserve">Sursa: Sondaj de opinie CPD, UNFPA, 2020   </w:t>
      </w:r>
    </w:p>
    <w:p w14:paraId="73DCFAC5" w14:textId="77777777" w:rsidR="00485A97" w:rsidRDefault="00485A97">
      <w:pPr>
        <w:spacing w:after="0" w:line="240" w:lineRule="auto"/>
        <w:jc w:val="both"/>
        <w:rPr>
          <w:rFonts w:ascii="Times New Roman" w:eastAsia="Times New Roman" w:hAnsi="Times New Roman" w:cs="Times New Roman"/>
          <w:b/>
          <w:color w:val="000000"/>
          <w:sz w:val="24"/>
          <w:szCs w:val="24"/>
        </w:rPr>
      </w:pPr>
    </w:p>
    <w:p w14:paraId="7F8D3E24"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Fetele/ femeile tinere se implică mai activ în activități de tineret și sunt, într-o proporție mai mare, beneficiare ale serviciilor de tineret</w:t>
      </w:r>
      <w:r>
        <w:rPr>
          <w:rFonts w:ascii="Times New Roman" w:eastAsia="Times New Roman" w:hAnsi="Times New Roman" w:cs="Times New Roman"/>
          <w:color w:val="000000"/>
          <w:sz w:val="24"/>
          <w:szCs w:val="24"/>
        </w:rPr>
        <w:t xml:space="preserve">. Nivelul de accesare a serviciilor prestate pentru tineri este direct corelat cu vizibilitatea structurilor care le prestează. Femeile tinere erau mai informate decât bărbații tineri, iar conștientizarea era mai mare în rândul tinerilor din mediul urban decât al tinerilor din mediul rural.  </w:t>
      </w:r>
    </w:p>
    <w:p w14:paraId="6895DE8A" w14:textId="77777777" w:rsidR="00485A97" w:rsidRDefault="00485A97">
      <w:pPr>
        <w:spacing w:after="0" w:line="240" w:lineRule="auto"/>
        <w:jc w:val="both"/>
        <w:rPr>
          <w:rFonts w:ascii="Times New Roman" w:eastAsia="Times New Roman" w:hAnsi="Times New Roman" w:cs="Times New Roman"/>
          <w:color w:val="000000"/>
          <w:sz w:val="24"/>
          <w:szCs w:val="24"/>
        </w:rPr>
      </w:pPr>
    </w:p>
    <w:p w14:paraId="588750E3"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Serviciile orientate către tineri au o reprezentativitate scăzută în localitățile rurale</w:t>
      </w:r>
      <w:r>
        <w:rPr>
          <w:rFonts w:ascii="Times New Roman" w:eastAsia="Times New Roman" w:hAnsi="Times New Roman" w:cs="Times New Roman"/>
          <w:sz w:val="24"/>
          <w:szCs w:val="24"/>
        </w:rPr>
        <w:t xml:space="preserve">. Structurile de tineret se regăsesc, în mare parte, în mediul urban. Respectiv, activitatea de/și pentru tineret se limitează la un anumit grup de tineri, care se caracterizează printr-un grad relativ mai înalt de activism, preponderent din mediul urban, cu acces mai larg la diverse surse de informare. Totodată, specialiștii și lucrătorii de tineret, reprezentanții structurilor de tineret se orientează, în mare parte, spre tinerii încadrați în studii, din grupul de vârstă mai mică (14-19 ani) din considerentul că tinerii de vârste mai mari sunt mai greu de implicat, din diverse motive: mobilitatea în scop de studii (universitate), încadrarea în câmpul muncii, crearea familiei, responsabilitățile de îngrijire etc. </w:t>
      </w:r>
    </w:p>
    <w:p w14:paraId="5A36FEDD" w14:textId="77777777" w:rsidR="00485A97" w:rsidRDefault="00485A97">
      <w:pPr>
        <w:tabs>
          <w:tab w:val="left" w:pos="4140"/>
        </w:tabs>
        <w:spacing w:after="0" w:line="240" w:lineRule="auto"/>
        <w:jc w:val="both"/>
        <w:rPr>
          <w:rFonts w:ascii="Times New Roman" w:eastAsia="Times New Roman" w:hAnsi="Times New Roman" w:cs="Times New Roman"/>
          <w:sz w:val="24"/>
          <w:szCs w:val="24"/>
        </w:rPr>
      </w:pPr>
    </w:p>
    <w:p w14:paraId="0ADC3B6E"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Accesul la servicii și programe este și mai mic în rândul tinerilor din grupurile defavorizate. </w:t>
      </w:r>
      <w:r>
        <w:rPr>
          <w:rFonts w:ascii="Times New Roman" w:eastAsia="Times New Roman" w:hAnsi="Times New Roman" w:cs="Times New Roman"/>
          <w:sz w:val="24"/>
          <w:szCs w:val="24"/>
        </w:rPr>
        <w:t>Tinerii cu oportunități reduse (cum ar fi tineri cu dizabilități, minorități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etnice, tineri NEET, tineri din familii sărace, cu reușită școlară scăzută etc.) sunt mai puțin încadrați în programe și servicii de dezvoltare. Practicile selective (focusarea pe cei mai activi, mai motivați), lipsa mecanismelor de susținere și încurajare a participării categoriilor vulnerabile de tineri, infrastructura accesibilă slab dezvoltată, insuficiența  specialiștilor pregătiți pentru lucrul cu categoriile vulnerabile de tineri, informarea scăzută a tinerilor privind activitățile și serviciile relevante pentru ei fac dificil lucrul cu aceste categorii.</w:t>
      </w:r>
    </w:p>
    <w:p w14:paraId="3DE0A7F4" w14:textId="77777777" w:rsidR="00485A97" w:rsidRDefault="00485A97">
      <w:pPr>
        <w:tabs>
          <w:tab w:val="left" w:pos="4140"/>
        </w:tabs>
        <w:spacing w:after="0" w:line="240" w:lineRule="auto"/>
        <w:jc w:val="both"/>
        <w:rPr>
          <w:rFonts w:ascii="Times New Roman" w:eastAsia="Times New Roman" w:hAnsi="Times New Roman" w:cs="Times New Roman"/>
          <w:sz w:val="24"/>
          <w:szCs w:val="24"/>
        </w:rPr>
      </w:pPr>
    </w:p>
    <w:p w14:paraId="6E980FEF"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Tinerii cu dizabilități au acces mai redus la serviciile și activitățile de și pentru tineret</w:t>
      </w:r>
      <w:r>
        <w:rPr>
          <w:rFonts w:ascii="Times New Roman" w:eastAsia="Times New Roman" w:hAnsi="Times New Roman" w:cs="Times New Roman"/>
          <w:sz w:val="24"/>
          <w:szCs w:val="24"/>
        </w:rPr>
        <w:t>. Această situație este determinată de nivelul redus de capacități instituționale și abilități profesionale ale specialiștilor de tineret de a lucra cu grupuri vulnerabile, pe de o parte, dar și de infrastructura slab dezvoltată și neadaptată la necesitățile tinerilor cu dizabilități, pe de altă parte.</w:t>
      </w:r>
    </w:p>
    <w:p w14:paraId="5AA82AED" w14:textId="77777777" w:rsidR="00485A97" w:rsidRDefault="00485A97">
      <w:pPr>
        <w:tabs>
          <w:tab w:val="left" w:pos="4140"/>
        </w:tabs>
        <w:spacing w:after="0" w:line="240" w:lineRule="auto"/>
        <w:jc w:val="both"/>
        <w:rPr>
          <w:rFonts w:ascii="Times New Roman" w:eastAsia="Times New Roman" w:hAnsi="Times New Roman" w:cs="Times New Roman"/>
          <w:sz w:val="24"/>
          <w:szCs w:val="24"/>
        </w:rPr>
      </w:pPr>
    </w:p>
    <w:p w14:paraId="00839D8B"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noProof/>
          <w:lang w:val="en-US" w:eastAsia="en-US"/>
        </w:rPr>
        <w:lastRenderedPageBreak/>
        <w:drawing>
          <wp:anchor distT="0" distB="0" distL="114300" distR="114300" simplePos="0" relativeHeight="251659264" behindDoc="0" locked="0" layoutInCell="1" hidden="0" allowOverlap="1" wp14:anchorId="16884D17" wp14:editId="0602353E">
            <wp:simplePos x="0" y="0"/>
            <wp:positionH relativeFrom="column">
              <wp:posOffset>1</wp:posOffset>
            </wp:positionH>
            <wp:positionV relativeFrom="paragraph">
              <wp:posOffset>141878</wp:posOffset>
            </wp:positionV>
            <wp:extent cx="3017520" cy="1547495"/>
            <wp:effectExtent l="0" t="0" r="0" b="0"/>
            <wp:wrapTopAndBottom distT="0" distB="0"/>
            <wp:docPr id="126" name="Chart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lang w:val="en-US" w:eastAsia="en-US"/>
        </w:rPr>
        <w:drawing>
          <wp:anchor distT="0" distB="0" distL="114300" distR="114300" simplePos="0" relativeHeight="251660288" behindDoc="0" locked="0" layoutInCell="1" hidden="0" allowOverlap="1" wp14:anchorId="1DC13363" wp14:editId="17DD28B8">
            <wp:simplePos x="0" y="0"/>
            <wp:positionH relativeFrom="column">
              <wp:posOffset>3019425</wp:posOffset>
            </wp:positionH>
            <wp:positionV relativeFrom="paragraph">
              <wp:posOffset>142875</wp:posOffset>
            </wp:positionV>
            <wp:extent cx="3053715" cy="1547495"/>
            <wp:effectExtent l="0" t="0" r="0" b="0"/>
            <wp:wrapTopAndBottom distT="0" distB="0"/>
            <wp:docPr id="134" name="Chart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lang w:val="en-US" w:eastAsia="en-US"/>
        </w:rPr>
        <w:drawing>
          <wp:anchor distT="0" distB="0" distL="114300" distR="114300" simplePos="0" relativeHeight="251661312" behindDoc="0" locked="0" layoutInCell="1" hidden="0" allowOverlap="1" wp14:anchorId="1A6FE6D3" wp14:editId="51F6E72C">
            <wp:simplePos x="0" y="0"/>
            <wp:positionH relativeFrom="column">
              <wp:posOffset>1</wp:posOffset>
            </wp:positionH>
            <wp:positionV relativeFrom="paragraph">
              <wp:posOffset>1685925</wp:posOffset>
            </wp:positionV>
            <wp:extent cx="3019425" cy="1547495"/>
            <wp:effectExtent l="0" t="0" r="0" b="0"/>
            <wp:wrapTopAndBottom distT="0" distB="0"/>
            <wp:docPr id="133" name="Chart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lang w:val="en-US" w:eastAsia="en-US"/>
        </w:rPr>
        <w:drawing>
          <wp:anchor distT="0" distB="0" distL="114300" distR="114300" simplePos="0" relativeHeight="251662336" behindDoc="0" locked="0" layoutInCell="1" hidden="0" allowOverlap="1" wp14:anchorId="080F5782" wp14:editId="4F9CC581">
            <wp:simplePos x="0" y="0"/>
            <wp:positionH relativeFrom="column">
              <wp:posOffset>3019425</wp:posOffset>
            </wp:positionH>
            <wp:positionV relativeFrom="paragraph">
              <wp:posOffset>1685925</wp:posOffset>
            </wp:positionV>
            <wp:extent cx="3057525" cy="1544955"/>
            <wp:effectExtent l="0" t="0" r="0" b="0"/>
            <wp:wrapTopAndBottom distT="0" distB="0"/>
            <wp:docPr id="131" name="Chart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43F8FFF" w14:textId="77777777" w:rsidR="00485A97" w:rsidRDefault="00976C54">
      <w:pPr>
        <w:spacing w:after="0" w:line="240" w:lineRule="auto"/>
        <w:jc w:val="both"/>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t xml:space="preserve">F3. Accesul la servicii, pe categorii socio-demografice, % </w:t>
      </w:r>
    </w:p>
    <w:p w14:paraId="258413D0" w14:textId="77777777" w:rsidR="00485A97" w:rsidRDefault="00976C54">
      <w:pPr>
        <w:spacing w:after="0" w:line="240" w:lineRule="auto"/>
        <w:jc w:val="both"/>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t>Sursa: Sondaj de opinie CPD, UNFPA, 2020</w:t>
      </w:r>
    </w:p>
    <w:p w14:paraId="56F8E043" w14:textId="77777777" w:rsidR="00485A97" w:rsidRDefault="00485A97">
      <w:pPr>
        <w:tabs>
          <w:tab w:val="left" w:pos="1345"/>
        </w:tabs>
        <w:spacing w:after="0" w:line="240" w:lineRule="auto"/>
        <w:jc w:val="both"/>
        <w:rPr>
          <w:rFonts w:ascii="Times New Roman" w:eastAsia="Times New Roman" w:hAnsi="Times New Roman" w:cs="Times New Roman"/>
          <w:sz w:val="24"/>
          <w:szCs w:val="24"/>
        </w:rPr>
      </w:pPr>
    </w:p>
    <w:p w14:paraId="24C0520B" w14:textId="77777777" w:rsidR="00485A97" w:rsidRDefault="00976C54">
      <w:pPr>
        <w:tabs>
          <w:tab w:val="left" w:pos="41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Participarea tinerilor</w:t>
      </w:r>
    </w:p>
    <w:p w14:paraId="01183276" w14:textId="77777777" w:rsidR="00485A97" w:rsidRDefault="00485A97">
      <w:pPr>
        <w:tabs>
          <w:tab w:val="left" w:pos="4140"/>
        </w:tabs>
        <w:spacing w:after="0" w:line="240" w:lineRule="auto"/>
        <w:jc w:val="both"/>
        <w:rPr>
          <w:rFonts w:ascii="Times New Roman" w:eastAsia="Times New Roman" w:hAnsi="Times New Roman" w:cs="Times New Roman"/>
          <w:b/>
          <w:sz w:val="24"/>
          <w:szCs w:val="24"/>
        </w:rPr>
      </w:pPr>
    </w:p>
    <w:p w14:paraId="185490C4"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Participarea se referă la dreptul și oportunitatea tinerilor de a se implica în activități civice și de luare a deciziilor</w:t>
      </w:r>
      <w:r>
        <w:rPr>
          <w:rFonts w:ascii="Times New Roman" w:eastAsia="Times New Roman" w:hAnsi="Times New Roman" w:cs="Times New Roman"/>
          <w:sz w:val="24"/>
          <w:szCs w:val="24"/>
        </w:rPr>
        <w:t xml:space="preserve"> în scopul promovării intereselor și necesităților acestora, prin a influența pozitiv deciziile luate la nivel local și național, fără a se confrunta cu vreo formă de excluziune. Potrivit </w:t>
      </w:r>
      <w:r>
        <w:rPr>
          <w:rFonts w:ascii="Times New Roman" w:eastAsia="Times New Roman" w:hAnsi="Times New Roman" w:cs="Times New Roman"/>
          <w:i/>
          <w:sz w:val="24"/>
          <w:szCs w:val="24"/>
        </w:rPr>
        <w:t xml:space="preserve">Legii nr. 215 din 29.07.2016 cu privire la tineret, </w:t>
      </w:r>
      <w:r>
        <w:rPr>
          <w:rFonts w:ascii="Times New Roman" w:eastAsia="Times New Roman" w:hAnsi="Times New Roman" w:cs="Times New Roman"/>
          <w:sz w:val="24"/>
          <w:szCs w:val="24"/>
        </w:rPr>
        <w:t xml:space="preserve">participarea prevede </w:t>
      </w:r>
      <w:r>
        <w:rPr>
          <w:rFonts w:ascii="Times New Roman" w:eastAsia="Times New Roman" w:hAnsi="Times New Roman" w:cs="Times New Roman"/>
          <w:color w:val="000000"/>
          <w:sz w:val="24"/>
          <w:szCs w:val="24"/>
        </w:rPr>
        <w:t>implicarea activă a tinerilor în procesul de luare a deciziilor, consultări publice, realizarea de activități care se produc în societate și care îi vizează în mod direct sau indirect.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Condițiile de dezvoltare a participării active reprezintă un echilibru între competențele tinerilor de a se implica și oportunitățile de aplicare în practică a acestor competențe. </w:t>
      </w:r>
    </w:p>
    <w:p w14:paraId="7F427602" w14:textId="77777777" w:rsidR="00485A97" w:rsidRDefault="00485A97">
      <w:pPr>
        <w:tabs>
          <w:tab w:val="left" w:pos="4140"/>
        </w:tabs>
        <w:spacing w:after="0" w:line="240" w:lineRule="auto"/>
        <w:jc w:val="both"/>
        <w:rPr>
          <w:rFonts w:ascii="Times New Roman" w:eastAsia="Times New Roman" w:hAnsi="Times New Roman" w:cs="Times New Roman"/>
          <w:sz w:val="24"/>
          <w:szCs w:val="24"/>
        </w:rPr>
      </w:pPr>
    </w:p>
    <w:p w14:paraId="33B62905" w14:textId="77777777" w:rsidR="00485A97" w:rsidRDefault="00976C5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În perioada implementării SNDST 2020 au fost elaborate și promulgate mai multe acte legislative și normative în scopul creării condițiilor necesare pentru facilitarea participării și a implicării mai active a tinerilor la nivel social și decizional</w:t>
      </w:r>
      <w:r>
        <w:rPr>
          <w:rFonts w:ascii="Times New Roman" w:eastAsia="Times New Roman" w:hAnsi="Times New Roman" w:cs="Times New Roman"/>
          <w:color w:val="000000"/>
          <w:sz w:val="24"/>
          <w:szCs w:val="24"/>
        </w:rPr>
        <w:t>. Printre acestea se numără: Legea nr. 215/2016 cu privire la tineret, Regulamentul-cadru privind organizarea și funcționarea consiliilor locale ale tinerilor, Hotărârea Guvernului nr. 598/2020 cu privire la organizarea și funcționarea Agenției Naționale pentru Dezvoltarea Programelor și Activității de Tineret etc. La fel, au fost puse bazele activității unor structuri de tineret ce activează la nivel raional și local, au fost susținute inițiative ale tinerilor prin programul de granturi, au fost desfășurate o serie de activități de instruire și informare a principalilor actori relevanți sectorului de tineret ș.a. Mai mult ca a</w:t>
      </w:r>
      <w:r>
        <w:rPr>
          <w:rFonts w:ascii="Times New Roman" w:eastAsia="Times New Roman" w:hAnsi="Times New Roman" w:cs="Times New Roman"/>
          <w:sz w:val="24"/>
          <w:szCs w:val="24"/>
        </w:rPr>
        <w:t>tât, au fost dezvoltate conceptele programelor de participare a tinerilor cum ar fi: proiectul Regulamentului pentru funcționarea comisiilor consultative de tineret pe principiile de co-management; proiectul programului ”Tânăr delegat la ONU”.</w:t>
      </w:r>
      <w:r>
        <w:rPr>
          <w:rFonts w:ascii="Times New Roman" w:eastAsia="Times New Roman" w:hAnsi="Times New Roman" w:cs="Times New Roman"/>
          <w:color w:val="000000"/>
          <w:sz w:val="24"/>
          <w:szCs w:val="24"/>
        </w:rPr>
        <w:t xml:space="preserve"> Cu toate că intervențiile strategice propuse au contribuit la înregistrarea unor progrese, totuși lipsa unui cadru omogen de monitorizare și a unor indicatori macro, specifici participării tinerilor din Moldova, a generat dificultăți în estimarea impactului intervențiilor strategice asupra problematicii majore cu referire la participarea tinerilor.</w:t>
      </w:r>
      <w:r>
        <w:rPr>
          <w:rFonts w:ascii="Times New Roman" w:eastAsia="Times New Roman" w:hAnsi="Times New Roman" w:cs="Times New Roman"/>
          <w:b/>
          <w:sz w:val="24"/>
          <w:szCs w:val="24"/>
        </w:rPr>
        <w:t xml:space="preserve"> </w:t>
      </w:r>
    </w:p>
    <w:p w14:paraId="6E507177" w14:textId="77777777" w:rsidR="00485A97" w:rsidRDefault="00485A97">
      <w:pPr>
        <w:tabs>
          <w:tab w:val="left" w:pos="4140"/>
        </w:tabs>
        <w:spacing w:after="0" w:line="240" w:lineRule="auto"/>
        <w:jc w:val="both"/>
        <w:rPr>
          <w:rFonts w:ascii="Times New Roman" w:eastAsia="Times New Roman" w:hAnsi="Times New Roman" w:cs="Times New Roman"/>
          <w:b/>
          <w:sz w:val="24"/>
          <w:szCs w:val="24"/>
        </w:rPr>
      </w:pPr>
    </w:p>
    <w:p w14:paraId="1F1DDB77"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Constatările rapoartelor internaționale și naționale, ce vin să evalueze prezența tinerilor în activitățile civice şi de luare a deciziilor, arată un nivel scăzut de participare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Indexul de Tineret din Moldova pentru 2020</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instrument ce măsoară disparitățile dintre tineri și populația adultă în diferite domenii social-economice (participarea în procesul decizional, vulnerabilitatea economică, activitatea economică, situațiile de risc şi sănătatea) sugerează că nivelul de participare al tinerilor în procesele politice și decizionale la nivel local este cu mult mai mic decât al adulților, acesta înregistrând o valoare de 0,69 puncte (pe o scală de la 0 la 1, unde 0 presupune că între grupurile de comparație nu există decalaje, iar 1 – că decalajul ia valoarea sa maximă)</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57793A2C" w14:textId="77777777" w:rsidR="00485A97" w:rsidRDefault="00485A97">
      <w:pPr>
        <w:spacing w:after="0" w:line="240" w:lineRule="auto"/>
        <w:jc w:val="both"/>
        <w:rPr>
          <w:rFonts w:ascii="Times New Roman" w:eastAsia="Times New Roman" w:hAnsi="Times New Roman" w:cs="Times New Roman"/>
          <w:b/>
          <w:sz w:val="24"/>
          <w:szCs w:val="24"/>
        </w:rPr>
      </w:pPr>
    </w:p>
    <w:p w14:paraId="60B990EF"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Ca structură de stimulare a participării tinerilor, în perioada anilor 2016 – 2022, cu suportul MEC, a fost creată, lansată și dezvoltată Rețeaua Națională a Consiliilor Locale ale Tinerilor,</w:t>
      </w:r>
      <w:r>
        <w:rPr>
          <w:rFonts w:ascii="Times New Roman" w:eastAsia="Times New Roman" w:hAnsi="Times New Roman" w:cs="Times New Roman"/>
          <w:color w:val="000000"/>
          <w:sz w:val="24"/>
          <w:szCs w:val="24"/>
        </w:rPr>
        <w:t xml:space="preserve"> care a fost concepută pentru a institui și consolida  capacitățile  de  organizare  și  funcționare ale consiliilor raionale/municipale ale tinerilor  la  nivel local  și  regional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Consiliile locale ale tinerilor constituie platforme de participare a tinerilor în procesele decizionale pe lângă autoritățile publice locale în toate domeniile cu impact asupra bunăstării acestora. Conceptul de participare a tinerilor are la bază susținerea dezvoltării politicilor publice locale pornind de la necesitățile reale ale tinerilor și cu implicarea acestora în dezvoltarea soluțiilor inovative.</w:t>
      </w:r>
      <w:r>
        <w:rPr>
          <w:rFonts w:ascii="Times New Roman" w:eastAsia="Times New Roman" w:hAnsi="Times New Roman" w:cs="Times New Roman"/>
          <w:sz w:val="24"/>
          <w:szCs w:val="24"/>
        </w:rPr>
        <w:t xml:space="preserve"> RNCLTM are o acoperire de 65,7% la nivel de APL II (23 de raioane și municipii) și o reprezentativitate la nivel de APL I mai modestă (14,9%, 134 consilii locale/ comunitare). Cu toate acestea, o</w:t>
      </w:r>
      <w:r>
        <w:rPr>
          <w:rFonts w:ascii="Times New Roman" w:eastAsia="Times New Roman" w:hAnsi="Times New Roman" w:cs="Times New Roman"/>
          <w:color w:val="000000"/>
          <w:sz w:val="24"/>
          <w:szCs w:val="24"/>
        </w:rPr>
        <w:t xml:space="preserve"> bună parte a acestor</w:t>
      </w:r>
      <w:r>
        <w:rPr>
          <w:rFonts w:ascii="Times New Roman" w:eastAsia="Times New Roman" w:hAnsi="Times New Roman" w:cs="Times New Roman"/>
          <w:sz w:val="24"/>
          <w:szCs w:val="24"/>
        </w:rPr>
        <w:t xml:space="preserve"> structuri la nivel local</w:t>
      </w:r>
      <w:r>
        <w:rPr>
          <w:rFonts w:ascii="Times New Roman" w:eastAsia="Times New Roman" w:hAnsi="Times New Roman" w:cs="Times New Roman"/>
          <w:color w:val="000000"/>
          <w:sz w:val="24"/>
          <w:szCs w:val="24"/>
        </w:rPr>
        <w:t xml:space="preserve"> se limitează la organizarea a 2 evenimente pe an, și anume Forum și Post-forum. Cel mai des beneficiarii consiliilor sunt tinerii cu vârsta de până la 22 de ani la nivel de oraș și până la 18-19 ani la nivel local, consiliile locale fiind mai puțin atractive pentru categoriile de vârstă mai mari. Pentru multe localități consiliile locale de tineret reprezintă unica structură de tineret în cadrul căreia se poate implica un tânăr. </w:t>
      </w:r>
    </w:p>
    <w:p w14:paraId="49FA10B1" w14:textId="77777777" w:rsidR="00485A97" w:rsidRDefault="00485A97">
      <w:pPr>
        <w:spacing w:after="0" w:line="240" w:lineRule="auto"/>
        <w:jc w:val="both"/>
        <w:rPr>
          <w:rFonts w:ascii="Times New Roman" w:eastAsia="Times New Roman" w:hAnsi="Times New Roman" w:cs="Times New Roman"/>
          <w:sz w:val="24"/>
          <w:szCs w:val="24"/>
        </w:rPr>
      </w:pPr>
    </w:p>
    <w:p w14:paraId="195F3769" w14:textId="77777777" w:rsidR="00485A97" w:rsidRDefault="00976C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Deși se atestă o dinamică constantă în creșterea și dezvoltarea rețelei consiliilor locale ale tinerilor, acestea rămân a fi puternic dependente de Programul de asistență al MEC </w:t>
      </w:r>
      <w:r>
        <w:rPr>
          <w:rFonts w:ascii="Times New Roman" w:eastAsia="Times New Roman" w:hAnsi="Times New Roman" w:cs="Times New Roman"/>
          <w:color w:val="000000"/>
          <w:sz w:val="24"/>
          <w:szCs w:val="24"/>
        </w:rPr>
        <w:t xml:space="preserve">pentru consolidarea și dezvoltarea consiliilor raionale/municipale ale tinerilor și de resursele alocate în cadrul acestuia, astfel </w:t>
      </w:r>
      <w:r>
        <w:rPr>
          <w:rFonts w:ascii="Times New Roman" w:eastAsia="Times New Roman" w:hAnsi="Times New Roman" w:cs="Times New Roman"/>
          <w:sz w:val="24"/>
          <w:szCs w:val="24"/>
        </w:rPr>
        <w:t>neavând</w:t>
      </w:r>
      <w:r>
        <w:rPr>
          <w:rFonts w:ascii="Times New Roman" w:eastAsia="Times New Roman" w:hAnsi="Times New Roman" w:cs="Times New Roman"/>
          <w:color w:val="000000"/>
          <w:sz w:val="24"/>
          <w:szCs w:val="24"/>
        </w:rPr>
        <w:t xml:space="preserve"> o independență financiară și instituțională, fiind dependenți de asistența financiară și metodologică oferită continuu de către MEC și fiind limitați sau chiar lipsiți de suport și resurse la nivel local. Necesitatea asigurării durabilității și a sustenabilității financiare a acestora, inclusiv din bugetele locale, rămâne a fi principala prioritate atât pentru RNCLTM, cât și pentru MEC. Totodată, RNCLTM de la fondarea acesteia nu a reușit să-și valorifice potențialul de reprezentare a tinerilor, rămânând a fi o structură care nu se manifestă activ în activități de reprezentare și advocacy pentru tineri.</w:t>
      </w:r>
    </w:p>
    <w:p w14:paraId="74DD7A34" w14:textId="77777777" w:rsidR="00485A97" w:rsidRDefault="00485A97">
      <w:pPr>
        <w:spacing w:after="0" w:line="240" w:lineRule="auto"/>
        <w:jc w:val="both"/>
        <w:rPr>
          <w:rFonts w:ascii="Times New Roman" w:eastAsia="Times New Roman" w:hAnsi="Times New Roman" w:cs="Times New Roman"/>
          <w:sz w:val="24"/>
          <w:szCs w:val="24"/>
        </w:rPr>
      </w:pPr>
    </w:p>
    <w:p w14:paraId="6FA60C88" w14:textId="77777777" w:rsidR="00485A97" w:rsidRDefault="00976C54">
      <w:pPr>
        <w:tabs>
          <w:tab w:val="left" w:pos="41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În pofida eforturilor de stimulare a participării tinerilor, mai puțin de 20% dintre tinerii din Moldova participă la activități de influențare a procesului decizional</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Ne referim atât la participarea la adunări unde s-au luat decizii, inclusiv pentru comunitate, ședințe de lucru a entităților pentru tineret, cât și la demonstrații stradale/mitinguri etc.</w:t>
      </w:r>
    </w:p>
    <w:p w14:paraId="503BB01F" w14:textId="77777777" w:rsidR="00485A97" w:rsidRDefault="00976C54">
      <w:pPr>
        <w:tabs>
          <w:tab w:val="left" w:pos="4140"/>
        </w:tabs>
        <w:spacing w:after="0" w:line="240" w:lineRule="auto"/>
        <w:jc w:val="both"/>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lastRenderedPageBreak/>
        <w:t>F4. Nivelul de participare a tinerilor, %</w:t>
      </w:r>
      <w:r>
        <w:rPr>
          <w:noProof/>
          <w:lang w:val="en-US" w:eastAsia="en-US"/>
        </w:rPr>
        <w:drawing>
          <wp:anchor distT="0" distB="0" distL="114300" distR="114300" simplePos="0" relativeHeight="251663360" behindDoc="0" locked="0" layoutInCell="1" hidden="0" allowOverlap="1" wp14:anchorId="4C51D74E" wp14:editId="7ABDA552">
            <wp:simplePos x="0" y="0"/>
            <wp:positionH relativeFrom="column">
              <wp:posOffset>4447</wp:posOffset>
            </wp:positionH>
            <wp:positionV relativeFrom="paragraph">
              <wp:posOffset>32385</wp:posOffset>
            </wp:positionV>
            <wp:extent cx="2257425" cy="1835785"/>
            <wp:effectExtent l="0" t="0" r="0" b="0"/>
            <wp:wrapTopAndBottom distT="0" distB="0"/>
            <wp:docPr id="127" name="Chart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lang w:val="en-US" w:eastAsia="en-US"/>
        </w:rPr>
        <w:drawing>
          <wp:anchor distT="0" distB="0" distL="114300" distR="114300" simplePos="0" relativeHeight="251664384" behindDoc="0" locked="0" layoutInCell="1" hidden="0" allowOverlap="1" wp14:anchorId="587C40C2" wp14:editId="31CD49FD">
            <wp:simplePos x="0" y="0"/>
            <wp:positionH relativeFrom="column">
              <wp:posOffset>2261870</wp:posOffset>
            </wp:positionH>
            <wp:positionV relativeFrom="paragraph">
              <wp:posOffset>32385</wp:posOffset>
            </wp:positionV>
            <wp:extent cx="3884295" cy="1835785"/>
            <wp:effectExtent l="0" t="0" r="0" b="0"/>
            <wp:wrapTopAndBottom distT="0" distB="0"/>
            <wp:docPr id="124" name="Chart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CE072B3" w14:textId="77777777" w:rsidR="00485A97" w:rsidRDefault="00976C54">
      <w:pPr>
        <w:spacing w:after="0" w:line="240" w:lineRule="auto"/>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t>Sursa: Sondaj de opinie CPD, UNFPA, 2020</w:t>
      </w:r>
    </w:p>
    <w:p w14:paraId="699D03E8" w14:textId="77777777" w:rsidR="00485A97" w:rsidRDefault="00485A97">
      <w:pPr>
        <w:spacing w:after="0" w:line="240" w:lineRule="auto"/>
        <w:jc w:val="both"/>
        <w:rPr>
          <w:rFonts w:ascii="Times New Roman" w:eastAsia="Times New Roman" w:hAnsi="Times New Roman" w:cs="Times New Roman"/>
          <w:b/>
          <w:sz w:val="24"/>
          <w:szCs w:val="24"/>
        </w:rPr>
      </w:pPr>
    </w:p>
    <w:p w14:paraId="47ABD50A"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Doar a zecea parte dintre tinerii din Moldova se caracterizează printr-un nivel înalt de participare în procesul decizional și viața socială a comunității. </w:t>
      </w:r>
      <w:r>
        <w:rPr>
          <w:rFonts w:ascii="Times New Roman" w:eastAsia="Times New Roman" w:hAnsi="Times New Roman" w:cs="Times New Roman"/>
          <w:sz w:val="24"/>
          <w:szCs w:val="24"/>
        </w:rPr>
        <w:t>Potrivit studiului privind impactul pandemiei asupra participării tinerilor, realizat de Centrul Parteneriat pentru Dezvoltare, doar 10% dintre tineri dau dovadă de un nivel înalt de participare civică și în procesul decizional, cea mai semnificativă prevalență o dețin tinerii cu participare scăzută - 50%, urmată de ponderea tinerilor cu participare medie – 40%. Nivelul scăzut de participare a tinerilor este determinat de: (i) încrederea scăzută în autorităţi şi în faptul cât de receptive sunt acestea față de părerea şi necesităţile lor; (ii) necorespunderea serviciilor oferite tinerilor cu necesităţile acestora; (iii) complexitatea activităţilor orientate spre dezvoltarea lor profesională şi personală, ceea ce solicită mai mult timp pentru implicare; (iv) prioritizarea altor responsabilităţi decât cele de participare (griji de familie, de încadrare în câmpul muncii, cariera profesională) etc.</w:t>
      </w:r>
    </w:p>
    <w:p w14:paraId="2618C0D8" w14:textId="77777777" w:rsidR="00485A97" w:rsidRDefault="00485A97">
      <w:pPr>
        <w:spacing w:after="0" w:line="240" w:lineRule="auto"/>
        <w:jc w:val="both"/>
        <w:rPr>
          <w:rFonts w:ascii="Times New Roman" w:eastAsia="Times New Roman" w:hAnsi="Times New Roman" w:cs="Times New Roman"/>
          <w:sz w:val="24"/>
          <w:szCs w:val="24"/>
        </w:rPr>
      </w:pPr>
    </w:p>
    <w:p w14:paraId="1EAADAA3" w14:textId="77777777" w:rsidR="00485A97" w:rsidRDefault="00976C54">
      <w:pPr>
        <w:spacing w:after="0" w:line="240" w:lineRule="auto"/>
        <w:jc w:val="both"/>
        <w:rPr>
          <w:rFonts w:ascii="Times New Roman" w:eastAsia="Times New Roman" w:hAnsi="Times New Roman" w:cs="Times New Roman"/>
          <w:i/>
          <w:color w:val="1F3864"/>
          <w:sz w:val="24"/>
          <w:szCs w:val="24"/>
        </w:rPr>
      </w:pPr>
      <w:r>
        <w:rPr>
          <w:rFonts w:ascii="Times New Roman" w:eastAsia="Times New Roman" w:hAnsi="Times New Roman" w:cs="Times New Roman"/>
          <w:b/>
          <w:sz w:val="24"/>
          <w:szCs w:val="24"/>
        </w:rPr>
        <w:t xml:space="preserve">Tinerii de 15-17 ani sunt mai predispuși de a se implica activ în viaţa socială și în procesul decizional. </w:t>
      </w:r>
      <w:r>
        <w:rPr>
          <w:rFonts w:ascii="Times New Roman" w:eastAsia="Times New Roman" w:hAnsi="Times New Roman" w:cs="Times New Roman"/>
          <w:sz w:val="24"/>
          <w:szCs w:val="24"/>
        </w:rPr>
        <w:t xml:space="preserve">În cadrul clusterului cu un nivel înalt de participare, ponderea tinerilor de 15-17 ani depăşeşte cu mult ponderea celor de 21-24 ani. Fiind încadraţi încă în procesul educativ (fie şcoală, fie colegiu sau şcoală profesională etc.), tabloul creat vine să confirme că instituţiile educaţionale reprezintă un mediu favorabil adolescenţilor de 15-17 ani pentru a se manifesta şi a participa la diverse activităţi ce au drept scop sporirea implicării lor. </w:t>
      </w:r>
    </w:p>
    <w:tbl>
      <w:tblPr>
        <w:tblStyle w:val="aff"/>
        <w:tblW w:w="94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
        <w:gridCol w:w="9185"/>
      </w:tblGrid>
      <w:tr w:rsidR="00485A97" w14:paraId="4492BCD9" w14:textId="77777777">
        <w:trPr>
          <w:trHeight w:val="200"/>
        </w:trPr>
        <w:tc>
          <w:tcPr>
            <w:tcW w:w="220" w:type="dxa"/>
            <w:tcMar>
              <w:top w:w="100" w:type="dxa"/>
              <w:left w:w="100" w:type="dxa"/>
              <w:bottom w:w="100" w:type="dxa"/>
              <w:right w:w="100" w:type="dxa"/>
            </w:tcMar>
          </w:tcPr>
          <w:p w14:paraId="1B927396" w14:textId="77777777" w:rsidR="00485A97" w:rsidRDefault="00485A97">
            <w:pPr>
              <w:tabs>
                <w:tab w:val="left" w:pos="4140"/>
              </w:tabs>
              <w:spacing w:after="0" w:line="240" w:lineRule="auto"/>
              <w:rPr>
                <w:rFonts w:ascii="Times New Roman" w:eastAsia="Times New Roman" w:hAnsi="Times New Roman" w:cs="Times New Roman"/>
                <w:i/>
                <w:color w:val="1F3864"/>
                <w:sz w:val="24"/>
                <w:szCs w:val="24"/>
              </w:rPr>
            </w:pPr>
          </w:p>
        </w:tc>
        <w:tc>
          <w:tcPr>
            <w:tcW w:w="9185" w:type="dxa"/>
            <w:shd w:val="clear" w:color="auto" w:fill="auto"/>
            <w:tcMar>
              <w:top w:w="100" w:type="dxa"/>
              <w:left w:w="100" w:type="dxa"/>
              <w:bottom w:w="100" w:type="dxa"/>
              <w:right w:w="100" w:type="dxa"/>
            </w:tcMar>
          </w:tcPr>
          <w:p w14:paraId="5C690932" w14:textId="77777777" w:rsidR="00485A97" w:rsidRDefault="00485A97">
            <w:pPr>
              <w:tabs>
                <w:tab w:val="left" w:pos="4140"/>
              </w:tabs>
              <w:spacing w:after="0" w:line="240" w:lineRule="auto"/>
              <w:rPr>
                <w:rFonts w:ascii="Times New Roman" w:eastAsia="Times New Roman" w:hAnsi="Times New Roman" w:cs="Times New Roman"/>
                <w:i/>
                <w:color w:val="1F3864"/>
                <w:sz w:val="24"/>
                <w:szCs w:val="24"/>
              </w:rPr>
            </w:pPr>
          </w:p>
        </w:tc>
      </w:tr>
      <w:tr w:rsidR="00485A97" w14:paraId="25373ACC" w14:textId="77777777">
        <w:trPr>
          <w:trHeight w:val="2810"/>
        </w:trPr>
        <w:tc>
          <w:tcPr>
            <w:tcW w:w="220" w:type="dxa"/>
            <w:tcMar>
              <w:top w:w="100" w:type="dxa"/>
              <w:left w:w="100" w:type="dxa"/>
              <w:bottom w:w="100" w:type="dxa"/>
              <w:right w:w="100" w:type="dxa"/>
            </w:tcMar>
          </w:tcPr>
          <w:p w14:paraId="4C63AA12" w14:textId="77777777" w:rsidR="00485A97" w:rsidRDefault="00485A97">
            <w:pPr>
              <w:tabs>
                <w:tab w:val="left" w:pos="4140"/>
              </w:tabs>
              <w:spacing w:after="0" w:line="240" w:lineRule="auto"/>
              <w:rPr>
                <w:rFonts w:ascii="Times New Roman" w:eastAsia="Times New Roman" w:hAnsi="Times New Roman" w:cs="Times New Roman"/>
                <w:i/>
                <w:color w:val="1F3864"/>
                <w:sz w:val="24"/>
                <w:szCs w:val="24"/>
              </w:rPr>
            </w:pPr>
          </w:p>
        </w:tc>
        <w:tc>
          <w:tcPr>
            <w:tcW w:w="9185" w:type="dxa"/>
            <w:tcMar>
              <w:top w:w="100" w:type="dxa"/>
              <w:left w:w="100" w:type="dxa"/>
              <w:bottom w:w="100" w:type="dxa"/>
              <w:right w:w="100" w:type="dxa"/>
            </w:tcMar>
          </w:tcPr>
          <w:p w14:paraId="26805B31" w14:textId="77777777" w:rsidR="00485A97" w:rsidRDefault="00976C54">
            <w:pPr>
              <w:tabs>
                <w:tab w:val="left" w:pos="4140"/>
              </w:tabs>
              <w:spacing w:after="0" w:line="240" w:lineRule="auto"/>
              <w:ind w:left="-283" w:right="-122"/>
              <w:rPr>
                <w:rFonts w:ascii="Times New Roman" w:eastAsia="Times New Roman" w:hAnsi="Times New Roman" w:cs="Times New Roman"/>
                <w:i/>
                <w:color w:val="1F3864"/>
                <w:sz w:val="24"/>
                <w:szCs w:val="24"/>
              </w:rPr>
            </w:pPr>
            <w:r>
              <w:rPr>
                <w:rFonts w:ascii="Times New Roman" w:eastAsia="Times New Roman" w:hAnsi="Times New Roman" w:cs="Times New Roman"/>
                <w:i/>
                <w:noProof/>
                <w:color w:val="1F3864"/>
                <w:sz w:val="24"/>
                <w:szCs w:val="24"/>
                <w:lang w:val="en-US" w:eastAsia="en-US"/>
              </w:rPr>
              <w:drawing>
                <wp:inline distT="114300" distB="114300" distL="114300" distR="114300" wp14:anchorId="2B9C3DE3" wp14:editId="23FEF22D">
                  <wp:extent cx="6133783" cy="1647825"/>
                  <wp:effectExtent l="0" t="0" r="0" b="0"/>
                  <wp:docPr id="1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133783" cy="1647825"/>
                          </a:xfrm>
                          <a:prstGeom prst="rect">
                            <a:avLst/>
                          </a:prstGeom>
                          <a:ln/>
                        </pic:spPr>
                      </pic:pic>
                    </a:graphicData>
                  </a:graphic>
                </wp:inline>
              </w:drawing>
            </w:r>
          </w:p>
        </w:tc>
      </w:tr>
    </w:tbl>
    <w:p w14:paraId="52D76F56" w14:textId="77777777" w:rsidR="00485A97" w:rsidRDefault="00976C54">
      <w:pPr>
        <w:tabs>
          <w:tab w:val="left" w:pos="4140"/>
        </w:tabs>
        <w:spacing w:after="0" w:line="240" w:lineRule="auto"/>
        <w:jc w:val="both"/>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t>F5. Profilul tinerilor predispuși spre participare activă, %</w:t>
      </w:r>
    </w:p>
    <w:p w14:paraId="2DD71E2B" w14:textId="77777777" w:rsidR="00485A97" w:rsidRDefault="00976C54">
      <w:pPr>
        <w:spacing w:after="0" w:line="240" w:lineRule="auto"/>
        <w:rPr>
          <w:rFonts w:ascii="Times New Roman" w:eastAsia="Times New Roman" w:hAnsi="Times New Roman" w:cs="Times New Roman"/>
          <w:i/>
          <w:color w:val="1F3864"/>
          <w:sz w:val="24"/>
          <w:szCs w:val="24"/>
        </w:rPr>
      </w:pPr>
      <w:r>
        <w:rPr>
          <w:rFonts w:ascii="Times New Roman" w:eastAsia="Times New Roman" w:hAnsi="Times New Roman" w:cs="Times New Roman"/>
          <w:i/>
          <w:color w:val="1F3864"/>
          <w:sz w:val="24"/>
          <w:szCs w:val="24"/>
        </w:rPr>
        <w:t>Sursa: Sondaj de opinie CPD, UNFPA, 2020</w:t>
      </w:r>
    </w:p>
    <w:p w14:paraId="30AD2EFD" w14:textId="77777777" w:rsidR="00485A97" w:rsidRDefault="00485A97">
      <w:pPr>
        <w:spacing w:after="0" w:line="240" w:lineRule="auto"/>
        <w:jc w:val="both"/>
        <w:rPr>
          <w:rFonts w:ascii="Times New Roman" w:eastAsia="Times New Roman" w:hAnsi="Times New Roman" w:cs="Times New Roman"/>
          <w:b/>
          <w:sz w:val="24"/>
          <w:szCs w:val="24"/>
          <w:highlight w:val="white"/>
        </w:rPr>
      </w:pPr>
    </w:p>
    <w:p w14:paraId="7EF071CE" w14:textId="77777777"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 xml:space="preserve">Tinerii din mediul rural sunt mai puțin afiliați la vreun grup de inițiativă sau organizație neguvernamentală. </w:t>
      </w:r>
      <w:r>
        <w:rPr>
          <w:rFonts w:ascii="Times New Roman" w:eastAsia="Times New Roman" w:hAnsi="Times New Roman" w:cs="Times New Roman"/>
          <w:sz w:val="24"/>
          <w:szCs w:val="24"/>
          <w:highlight w:val="white"/>
        </w:rPr>
        <w:t>O formă de participare ține de aderarea la unele grupuri care activează în mediul de trai al tinerilor. Astfel, potrivit unor sondaje de opinie desfășurate în perioada 2016 și 2018, ponderea tinerilor de 18-29 ani care au devenit membri ai unor asociații obștești ori s-au implicat în calitate de voluntari a sporit ușor. Chiar dacă se observă o tendință ușor pozitivă și în rândul persoanelor din mediul rural, totuși ne preocupă valorile extrem de mici a acestora (până la 3% în 2018). Totodată, în cazul bărbaților, valorile sunt mai mari comparativ cu femeile, ceea ce conturează persistența stereotipurilor privind rolurile de gen în societate (responsabilități de îngrijire a copiilor și a gospodăriilor etc.).</w:t>
      </w:r>
    </w:p>
    <w:p w14:paraId="694ADA21" w14:textId="77777777"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color w:val="1F3864"/>
          <w:sz w:val="24"/>
          <w:szCs w:val="24"/>
          <w:highlight w:val="white"/>
        </w:rPr>
        <w:t xml:space="preserve">F6. Ponderea tinerilor membri ai ONG-urilor sau grupurilor de inițiativă comunitare, %        </w:t>
      </w:r>
    </w:p>
    <w:p w14:paraId="779F0C36" w14:textId="77777777" w:rsidR="00485A97" w:rsidRDefault="00976C54">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i/>
          <w:color w:val="1F3864"/>
          <w:sz w:val="24"/>
          <w:szCs w:val="24"/>
          <w:highlight w:val="white"/>
        </w:rPr>
        <w:t>Sursa: Sondaje de opinie CPD în 2016 și 2018</w:t>
      </w:r>
    </w:p>
    <w:p w14:paraId="2BA466DC" w14:textId="77777777" w:rsidR="00485A97" w:rsidRDefault="00485A97">
      <w:pPr>
        <w:spacing w:after="0" w:line="240" w:lineRule="auto"/>
        <w:jc w:val="both"/>
        <w:rPr>
          <w:rFonts w:ascii="Times New Roman" w:eastAsia="Times New Roman" w:hAnsi="Times New Roman" w:cs="Times New Roman"/>
          <w:sz w:val="24"/>
          <w:szCs w:val="24"/>
        </w:rPr>
      </w:pPr>
    </w:p>
    <w:p w14:paraId="5D0AC77C" w14:textId="77777777"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Tinerii cu dizabilități și cei de etnie romă au o afiliere extrem de joasă la vreo structură de participare. </w:t>
      </w:r>
      <w:r>
        <w:rPr>
          <w:rFonts w:ascii="Times New Roman" w:eastAsia="Times New Roman" w:hAnsi="Times New Roman" w:cs="Times New Roman"/>
          <w:sz w:val="24"/>
          <w:szCs w:val="24"/>
          <w:highlight w:val="white"/>
        </w:rPr>
        <w:t>Datele unui sondaj de opinie realizat de CPD în 2018 a evidențiat că mai puțin de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2% dintre persoanele de 18-39 de ani se regăsesc în una dintre structurile de participare, precum grupuri de inițiativă sau organizații neguvernamentale. Până la 3% dintre tinerii din aceste două categorii defavorizate au fost implicați în activități de voluntariat fie în partidele politice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fie în asociații obștești. Problema accesibilizării, a conștientizării problemei de incluziune, dar și perpetuarea unor stereotipuri în societate vizavi de aceste două grupuri de persoane au implicații negative asupra posibilității de participare atât în activitățile civice, cât și în cele de luare a deciziilor.</w:t>
      </w:r>
    </w:p>
    <w:p w14:paraId="0193B76B" w14:textId="77777777" w:rsidR="00485A97" w:rsidRDefault="00485A97">
      <w:pPr>
        <w:spacing w:after="0" w:line="240" w:lineRule="auto"/>
        <w:jc w:val="both"/>
        <w:rPr>
          <w:rFonts w:ascii="Times New Roman" w:eastAsia="Times New Roman" w:hAnsi="Times New Roman" w:cs="Times New Roman"/>
          <w:sz w:val="24"/>
          <w:szCs w:val="24"/>
          <w:highlight w:val="white"/>
        </w:rPr>
      </w:pPr>
    </w:p>
    <w:p w14:paraId="1AF02F68" w14:textId="77777777" w:rsidR="00485A97" w:rsidRDefault="00976C54">
      <w:pPr>
        <w:spacing w:after="0" w:line="240" w:lineRule="auto"/>
        <w:jc w:val="both"/>
        <w:rPr>
          <w:rFonts w:ascii="Times New Roman" w:eastAsia="Times New Roman" w:hAnsi="Times New Roman" w:cs="Times New Roman"/>
          <w:i/>
          <w:color w:val="1F3864"/>
          <w:sz w:val="24"/>
          <w:szCs w:val="24"/>
          <w:highlight w:val="white"/>
        </w:rPr>
      </w:pPr>
      <w:r>
        <w:rPr>
          <w:noProof/>
          <w:lang w:val="en-US" w:eastAsia="en-US"/>
        </w:rPr>
        <w:drawing>
          <wp:anchor distT="0" distB="0" distL="114300" distR="114300" simplePos="0" relativeHeight="251665408" behindDoc="0" locked="0" layoutInCell="1" hidden="0" allowOverlap="1" wp14:anchorId="069D717B" wp14:editId="611739F3">
            <wp:simplePos x="0" y="0"/>
            <wp:positionH relativeFrom="column">
              <wp:posOffset>1</wp:posOffset>
            </wp:positionH>
            <wp:positionV relativeFrom="paragraph">
              <wp:posOffset>1876425</wp:posOffset>
            </wp:positionV>
            <wp:extent cx="3062054" cy="1871980"/>
            <wp:effectExtent l="0" t="0" r="0" b="0"/>
            <wp:wrapTopAndBottom distT="0" distB="0"/>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noProof/>
          <w:lang w:val="en-US" w:eastAsia="en-US"/>
        </w:rPr>
        <w:drawing>
          <wp:anchor distT="0" distB="0" distL="114300" distR="114300" simplePos="0" relativeHeight="251666432" behindDoc="0" locked="0" layoutInCell="1" hidden="0" allowOverlap="1" wp14:anchorId="5316F6F1" wp14:editId="330C6952">
            <wp:simplePos x="0" y="0"/>
            <wp:positionH relativeFrom="column">
              <wp:posOffset>3057525</wp:posOffset>
            </wp:positionH>
            <wp:positionV relativeFrom="paragraph">
              <wp:posOffset>1876425</wp:posOffset>
            </wp:positionV>
            <wp:extent cx="2887514" cy="1871980"/>
            <wp:effectExtent l="0" t="0" r="0" b="0"/>
            <wp:wrapTopAndBottom distT="0" distB="0"/>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noProof/>
          <w:lang w:val="en-US" w:eastAsia="en-US"/>
        </w:rPr>
        <w:drawing>
          <wp:anchor distT="0" distB="0" distL="114300" distR="114300" simplePos="0" relativeHeight="251667456" behindDoc="0" locked="0" layoutInCell="1" hidden="0" allowOverlap="1" wp14:anchorId="7E314C99" wp14:editId="4454734E">
            <wp:simplePos x="0" y="0"/>
            <wp:positionH relativeFrom="column">
              <wp:posOffset>3314700</wp:posOffset>
            </wp:positionH>
            <wp:positionV relativeFrom="paragraph">
              <wp:posOffset>76200</wp:posOffset>
            </wp:positionV>
            <wp:extent cx="2618105" cy="1799590"/>
            <wp:effectExtent l="0" t="0" r="0" b="0"/>
            <wp:wrapTopAndBottom distT="0" distB="0"/>
            <wp:docPr id="125" name="Chart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noProof/>
          <w:lang w:val="en-US" w:eastAsia="en-US"/>
        </w:rPr>
        <w:drawing>
          <wp:anchor distT="0" distB="0" distL="114300" distR="114300" simplePos="0" relativeHeight="251668480" behindDoc="0" locked="0" layoutInCell="1" hidden="0" allowOverlap="1" wp14:anchorId="76D85C90" wp14:editId="6563E95C">
            <wp:simplePos x="0" y="0"/>
            <wp:positionH relativeFrom="column">
              <wp:posOffset>1</wp:posOffset>
            </wp:positionH>
            <wp:positionV relativeFrom="paragraph">
              <wp:posOffset>79340</wp:posOffset>
            </wp:positionV>
            <wp:extent cx="3316695" cy="1799590"/>
            <wp:effectExtent l="0" t="0" r="0" b="0"/>
            <wp:wrapTopAndBottom distT="0" distB="0"/>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0B5770B8" w14:textId="77777777"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color w:val="1F3864"/>
          <w:sz w:val="24"/>
          <w:szCs w:val="24"/>
          <w:highlight w:val="white"/>
        </w:rPr>
        <w:t>F7. Ponderea tinerilor cu dizabilități și a celor de etnie romă membri sau voluntari  în ONGuri sau grupuri de inițiativă locală, %</w:t>
      </w:r>
    </w:p>
    <w:p w14:paraId="348BE9D8" w14:textId="77777777" w:rsidR="00485A97" w:rsidRDefault="00976C54">
      <w:pPr>
        <w:spacing w:after="0" w:line="240" w:lineRule="auto"/>
        <w:jc w:val="both"/>
        <w:rPr>
          <w:rFonts w:ascii="Times New Roman" w:eastAsia="Times New Roman" w:hAnsi="Times New Roman" w:cs="Times New Roman"/>
          <w:i/>
          <w:color w:val="1F3864"/>
          <w:sz w:val="24"/>
          <w:szCs w:val="24"/>
          <w:highlight w:val="white"/>
        </w:rPr>
      </w:pPr>
      <w:r>
        <w:rPr>
          <w:rFonts w:ascii="Times New Roman" w:eastAsia="Times New Roman" w:hAnsi="Times New Roman" w:cs="Times New Roman"/>
          <w:i/>
          <w:color w:val="1F3864"/>
          <w:sz w:val="24"/>
          <w:szCs w:val="24"/>
          <w:highlight w:val="white"/>
        </w:rPr>
        <w:t>Sursa: Sondaj de opinie CPD, 2018</w:t>
      </w:r>
    </w:p>
    <w:p w14:paraId="7696DEFE"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14F59E77"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2DCCF18E"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2A5BA283"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187651D6"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OBIECTIVE ȘI DIRECȚII PRIORITARE</w:t>
      </w:r>
    </w:p>
    <w:p w14:paraId="0E2E34D8" w14:textId="77777777" w:rsidR="00485A97" w:rsidRDefault="00485A97">
      <w:pPr>
        <w:shd w:val="clear" w:color="auto" w:fill="FFFFFF"/>
        <w:spacing w:after="0" w:line="240" w:lineRule="auto"/>
        <w:jc w:val="both"/>
        <w:rPr>
          <w:rFonts w:ascii="Times New Roman" w:eastAsia="Times New Roman" w:hAnsi="Times New Roman" w:cs="Times New Roman"/>
          <w:b/>
          <w:sz w:val="24"/>
          <w:szCs w:val="24"/>
        </w:rPr>
      </w:pPr>
    </w:p>
    <w:p w14:paraId="1DADFB7E" w14:textId="77777777" w:rsidR="00485A97" w:rsidRDefault="00976C5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Viziune: </w:t>
      </w:r>
    </w:p>
    <w:p w14:paraId="3695CD04" w14:textId="77777777" w:rsidR="00485A97" w:rsidRDefault="00976C5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Construcția unei societăți moderne are la bază tineri educați și competenți, care împărtășesc o verticală a valorilor și își asumă responsabilitatea de a contribui calitativ la dezvoltarea socială și economică a statului. </w:t>
      </w:r>
    </w:p>
    <w:p w14:paraId="2BE6EDCB"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553D4855" w14:textId="77777777" w:rsidR="00485A97" w:rsidRDefault="00976C5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Crearea valorilor pentru a genera valoare</w:t>
      </w:r>
    </w:p>
    <w:p w14:paraId="2B0CB893"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2211B51F"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Valoarea adăugată în parcursul de dezvoltare socială și economică a statului generată de tineri, are la bază competențele dezvoltate și asimilate. Calitatea și capacitatea de asimilare este direct dependentă de valorile în care sunt ancorate competențele. Strategia Tineret 2030 trasează o verticală valorică care tinde a fi împărtășită de tineri urmare a implementării documentului. În toate abordările și intervențiile în cadrul documentului de politici se va promova un cadru de valori unic</w:t>
      </w:r>
    </w:p>
    <w:p w14:paraId="1C5E3850"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65A30491"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tbl>
      <w:tblPr>
        <w:tblStyle w:val="aff0"/>
        <w:tblW w:w="969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7965"/>
      </w:tblGrid>
      <w:tr w:rsidR="00485A97" w14:paraId="03F99B8E" w14:textId="77777777">
        <w:tc>
          <w:tcPr>
            <w:tcW w:w="1725" w:type="dxa"/>
            <w:tcBorders>
              <w:top w:val="dotted" w:sz="8" w:space="0" w:color="000000"/>
              <w:left w:val="dotted" w:sz="8" w:space="0" w:color="000000"/>
              <w:bottom w:val="dotted" w:sz="8" w:space="0" w:color="000000"/>
              <w:right w:val="dotted" w:sz="8" w:space="0" w:color="000000"/>
            </w:tcBorders>
            <w:shd w:val="clear" w:color="auto" w:fill="9FC5E8"/>
            <w:tcMar>
              <w:top w:w="100" w:type="dxa"/>
              <w:left w:w="100" w:type="dxa"/>
              <w:bottom w:w="100" w:type="dxa"/>
              <w:right w:w="100" w:type="dxa"/>
            </w:tcMar>
          </w:tcPr>
          <w:p w14:paraId="39F30EA9"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Nivel valoric</w:t>
            </w:r>
          </w:p>
        </w:tc>
        <w:tc>
          <w:tcPr>
            <w:tcW w:w="7965" w:type="dxa"/>
            <w:tcBorders>
              <w:top w:val="dotted" w:sz="8" w:space="0" w:color="000000"/>
              <w:left w:val="dotted" w:sz="8" w:space="0" w:color="000000"/>
              <w:bottom w:val="dotted" w:sz="8" w:space="0" w:color="000000"/>
              <w:right w:val="dotted" w:sz="8" w:space="0" w:color="000000"/>
            </w:tcBorders>
            <w:shd w:val="clear" w:color="auto" w:fill="9FC5E8"/>
            <w:tcMar>
              <w:top w:w="100" w:type="dxa"/>
              <w:left w:w="100" w:type="dxa"/>
              <w:bottom w:w="100" w:type="dxa"/>
              <w:right w:w="100" w:type="dxa"/>
            </w:tcMar>
          </w:tcPr>
          <w:p w14:paraId="3C863705"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w:t>
            </w:r>
          </w:p>
        </w:tc>
      </w:tr>
      <w:tr w:rsidR="00485A97" w14:paraId="0B860002" w14:textId="77777777">
        <w:tc>
          <w:tcPr>
            <w:tcW w:w="172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19D136CF"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0A305ABA"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Individual </w:t>
            </w:r>
          </w:p>
        </w:tc>
        <w:tc>
          <w:tcPr>
            <w:tcW w:w="796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7C153588"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Caracter</w:t>
            </w:r>
          </w:p>
          <w:p w14:paraId="54B3A9CD"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Setez și mențin înalte standarde de etică și integritate </w:t>
            </w:r>
          </w:p>
        </w:tc>
      </w:tr>
      <w:tr w:rsidR="00485A97" w14:paraId="20B6FB37" w14:textId="77777777">
        <w:tc>
          <w:tcPr>
            <w:tcW w:w="172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2EBAFABC"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5631C601"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Familie</w:t>
            </w:r>
          </w:p>
        </w:tc>
        <w:tc>
          <w:tcPr>
            <w:tcW w:w="796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4E85E7AF"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Perseverență</w:t>
            </w:r>
          </w:p>
          <w:p w14:paraId="0215FDD1"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Eșecurile sunt parte a procesului iar efortul este necesar a fi continuu</w:t>
            </w:r>
          </w:p>
        </w:tc>
      </w:tr>
      <w:tr w:rsidR="00485A97" w14:paraId="7F9F2DAF" w14:textId="77777777">
        <w:tc>
          <w:tcPr>
            <w:tcW w:w="172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26D040FB"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1E59990E"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Societate</w:t>
            </w:r>
          </w:p>
        </w:tc>
        <w:tc>
          <w:tcPr>
            <w:tcW w:w="796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6E516694"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Respect</w:t>
            </w:r>
          </w:p>
          <w:p w14:paraId="43D93A52"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Tratez pe toți echidistant cu respect și demnitate, în timp ce am așteptări să fiu tratat la fel</w:t>
            </w:r>
          </w:p>
        </w:tc>
      </w:tr>
      <w:tr w:rsidR="00485A97" w14:paraId="493922F9" w14:textId="77777777">
        <w:tc>
          <w:tcPr>
            <w:tcW w:w="172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18A880DF"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1364ACE0"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Profesional</w:t>
            </w:r>
          </w:p>
        </w:tc>
        <w:tc>
          <w:tcPr>
            <w:tcW w:w="796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1848DA41"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Reputație</w:t>
            </w:r>
          </w:p>
          <w:p w14:paraId="3DE9B107"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Pun preț pe poziționarea personală în societate, percepția și așteptările pe care le creez</w:t>
            </w:r>
          </w:p>
        </w:tc>
      </w:tr>
      <w:tr w:rsidR="00485A97" w14:paraId="3998B4E2" w14:textId="77777777">
        <w:tc>
          <w:tcPr>
            <w:tcW w:w="172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2FFF8499"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788EA8C3"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Identitate</w:t>
            </w:r>
          </w:p>
        </w:tc>
        <w:tc>
          <w:tcPr>
            <w:tcW w:w="796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13ED301D" w14:textId="77777777" w:rsidR="00485A97" w:rsidRDefault="00485A9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p>
          <w:p w14:paraId="0D5B71F9"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Demnitate</w:t>
            </w:r>
          </w:p>
          <w:p w14:paraId="08302218" w14:textId="77777777" w:rsidR="00485A97" w:rsidRDefault="00976C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Apreciez și promovez cu mândrie bagajul cultural și istoric al națiunii pe care o reprezint</w:t>
            </w:r>
          </w:p>
        </w:tc>
      </w:tr>
    </w:tbl>
    <w:p w14:paraId="3260047D"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289906B4" w14:textId="77777777" w:rsidR="00485A97" w:rsidRDefault="00976C5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Misiune </w:t>
      </w:r>
    </w:p>
    <w:p w14:paraId="11A2F252" w14:textId="77777777" w:rsidR="00485A97" w:rsidRDefault="00976C54">
      <w:pPr>
        <w:numPr>
          <w:ilvl w:val="0"/>
          <w:numId w:val="10"/>
        </w:numPr>
        <w:spacing w:before="12" w:after="0" w:line="240" w:lineRule="auto"/>
        <w:ind w:left="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Asigurarea accesului tuturor tinerilor </w:t>
      </w:r>
      <w:r>
        <w:rPr>
          <w:rFonts w:ascii="Times New Roman" w:eastAsia="Times New Roman" w:hAnsi="Times New Roman" w:cs="Times New Roman"/>
          <w:color w:val="000000"/>
          <w:sz w:val="24"/>
          <w:szCs w:val="24"/>
        </w:rPr>
        <w:t xml:space="preserve">din Republica Moldova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oportunități și programe calitative de tineret care contribuie la dezvoltarea competențelor și împărtășirea valorilor.</w:t>
      </w:r>
    </w:p>
    <w:p w14:paraId="3336FFD8" w14:textId="77777777" w:rsidR="00485A97" w:rsidRDefault="00976C54">
      <w:pPr>
        <w:numPr>
          <w:ilvl w:val="0"/>
          <w:numId w:val="10"/>
        </w:numPr>
        <w:spacing w:after="0" w:line="240" w:lineRule="auto"/>
        <w:ind w:left="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ecunoașterea </w:t>
      </w:r>
      <w:r>
        <w:rPr>
          <w:rFonts w:ascii="Times New Roman" w:eastAsia="Times New Roman" w:hAnsi="Times New Roman" w:cs="Times New Roman"/>
          <w:sz w:val="24"/>
          <w:szCs w:val="24"/>
        </w:rPr>
        <w:t>de către stat a</w:t>
      </w:r>
      <w:r>
        <w:rPr>
          <w:rFonts w:ascii="Times New Roman" w:eastAsia="Times New Roman" w:hAnsi="Times New Roman" w:cs="Times New Roman"/>
          <w:color w:val="000000"/>
          <w:sz w:val="24"/>
          <w:szCs w:val="24"/>
        </w:rPr>
        <w:t xml:space="preserve"> potențialul de inovație al tinerilor și al organizațiilor de tineret și aloc</w:t>
      </w:r>
      <w:r>
        <w:rPr>
          <w:rFonts w:ascii="Times New Roman" w:eastAsia="Times New Roman" w:hAnsi="Times New Roman" w:cs="Times New Roman"/>
          <w:sz w:val="24"/>
          <w:szCs w:val="24"/>
        </w:rPr>
        <w:t>area</w:t>
      </w:r>
      <w:r>
        <w:rPr>
          <w:rFonts w:ascii="Times New Roman" w:eastAsia="Times New Roman" w:hAnsi="Times New Roman" w:cs="Times New Roman"/>
          <w:color w:val="000000"/>
          <w:sz w:val="24"/>
          <w:szCs w:val="24"/>
        </w:rPr>
        <w:t xml:space="preserve"> resurselor financiare suficiente pentru realizarea inițiativelor acestora.</w:t>
      </w:r>
    </w:p>
    <w:p w14:paraId="6001C2F4" w14:textId="77777777" w:rsidR="00485A97" w:rsidRDefault="00976C54">
      <w:pPr>
        <w:numPr>
          <w:ilvl w:val="0"/>
          <w:numId w:val="10"/>
        </w:numPr>
        <w:spacing w:after="0" w:line="240" w:lineRule="auto"/>
        <w:ind w:left="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Tinerii, responsabilizați de propriul rol în dezvoltarea democrației, participă în mod semnificativ și se implică civic,</w:t>
      </w:r>
    </w:p>
    <w:p w14:paraId="3EA10167" w14:textId="77777777" w:rsidR="00485A97" w:rsidRDefault="00485A97">
      <w:pPr>
        <w:spacing w:after="0" w:line="240" w:lineRule="auto"/>
        <w:rPr>
          <w:rFonts w:ascii="Times New Roman" w:eastAsia="Times New Roman" w:hAnsi="Times New Roman" w:cs="Times New Roman"/>
          <w:sz w:val="24"/>
          <w:szCs w:val="24"/>
        </w:rPr>
      </w:pPr>
    </w:p>
    <w:p w14:paraId="25C3CF4F" w14:textId="77777777" w:rsidR="005F6327" w:rsidRDefault="005F6327">
      <w:pPr>
        <w:spacing w:before="12" w:after="0" w:line="240" w:lineRule="auto"/>
        <w:ind w:right="1"/>
        <w:jc w:val="both"/>
        <w:rPr>
          <w:rFonts w:ascii="Times New Roman" w:eastAsia="Times New Roman" w:hAnsi="Times New Roman" w:cs="Times New Roman"/>
          <w:b/>
          <w:color w:val="000000"/>
          <w:sz w:val="24"/>
          <w:szCs w:val="24"/>
        </w:rPr>
      </w:pPr>
    </w:p>
    <w:p w14:paraId="63F4D946" w14:textId="77777777" w:rsidR="005F6327" w:rsidRDefault="005F6327">
      <w:pPr>
        <w:spacing w:before="12" w:after="0" w:line="240" w:lineRule="auto"/>
        <w:ind w:right="1"/>
        <w:jc w:val="both"/>
        <w:rPr>
          <w:rFonts w:ascii="Times New Roman" w:eastAsia="Times New Roman" w:hAnsi="Times New Roman" w:cs="Times New Roman"/>
          <w:b/>
          <w:color w:val="000000"/>
          <w:sz w:val="24"/>
          <w:szCs w:val="24"/>
        </w:rPr>
      </w:pPr>
    </w:p>
    <w:p w14:paraId="41BFA270" w14:textId="77777777" w:rsidR="00485A97" w:rsidRDefault="00976C54">
      <w:pPr>
        <w:spacing w:before="12"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Instrumente și intervenții</w:t>
      </w:r>
    </w:p>
    <w:p w14:paraId="6FC76A3E" w14:textId="77777777" w:rsidR="00485A97" w:rsidRDefault="00976C54">
      <w:pPr>
        <w:spacing w:before="12"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Pentru creșterea gradului de înțelegere și încredere a tinerilor în instituțiile statului și sistemul de guvernare democratic, tinerii și sectorului de tineret necesită mecanisme simple și flexibile de intervenție, cu un grad redus de birocrație și adaptate la necesitate la necesitățile grupurilor </w:t>
      </w:r>
      <w:r>
        <w:rPr>
          <w:rFonts w:ascii="Times New Roman" w:eastAsia="Times New Roman" w:hAnsi="Times New Roman" w:cs="Times New Roman"/>
          <w:sz w:val="24"/>
          <w:szCs w:val="24"/>
        </w:rPr>
        <w:t>de tineri defavorizați</w:t>
      </w:r>
      <w:r>
        <w:rPr>
          <w:rFonts w:ascii="Times New Roman" w:eastAsia="Times New Roman" w:hAnsi="Times New Roman" w:cs="Times New Roman"/>
          <w:color w:val="000000"/>
          <w:sz w:val="24"/>
          <w:szCs w:val="24"/>
        </w:rPr>
        <w:t xml:space="preserve">. </w:t>
      </w:r>
    </w:p>
    <w:p w14:paraId="5043B845" w14:textId="77777777" w:rsidR="00485A97" w:rsidRDefault="00485A97">
      <w:pPr>
        <w:spacing w:before="12" w:after="0" w:line="240" w:lineRule="auto"/>
        <w:ind w:right="1"/>
        <w:jc w:val="both"/>
        <w:rPr>
          <w:rFonts w:ascii="Times New Roman" w:eastAsia="Times New Roman" w:hAnsi="Times New Roman" w:cs="Times New Roman"/>
          <w:sz w:val="24"/>
          <w:szCs w:val="24"/>
        </w:rPr>
      </w:pPr>
    </w:p>
    <w:p w14:paraId="510110B2" w14:textId="77777777" w:rsidR="00485A97" w:rsidRDefault="00976C54">
      <w:p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Instrumentele utilizate în cadrul Strategiei sunt:</w:t>
      </w:r>
    </w:p>
    <w:p w14:paraId="30EA7081" w14:textId="77777777" w:rsidR="00485A97" w:rsidRDefault="00976C54">
      <w:pPr>
        <w:numPr>
          <w:ilvl w:val="0"/>
          <w:numId w:val="12"/>
        </w:num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suport financiar și </w:t>
      </w:r>
      <w:r>
        <w:rPr>
          <w:rFonts w:ascii="Times New Roman" w:eastAsia="Times New Roman" w:hAnsi="Times New Roman" w:cs="Times New Roman"/>
          <w:color w:val="000000"/>
          <w:sz w:val="24"/>
          <w:szCs w:val="24"/>
        </w:rPr>
        <w:t>material pentru organizațiile de tineret</w:t>
      </w:r>
      <w:r>
        <w:rPr>
          <w:rFonts w:ascii="Times New Roman" w:eastAsia="Times New Roman" w:hAnsi="Times New Roman" w:cs="Times New Roman"/>
          <w:sz w:val="24"/>
          <w:szCs w:val="24"/>
        </w:rPr>
        <w:t>;</w:t>
      </w:r>
    </w:p>
    <w:p w14:paraId="2CEAD7A9" w14:textId="77777777" w:rsidR="00485A97" w:rsidRDefault="00976C54">
      <w:pPr>
        <w:numPr>
          <w:ilvl w:val="0"/>
          <w:numId w:val="12"/>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de certificare a calității lucrului și programelor de tineret;</w:t>
      </w:r>
    </w:p>
    <w:p w14:paraId="48603D38" w14:textId="77777777" w:rsidR="00485A97" w:rsidRDefault="00976C54">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cooperare și coordonare a politicilor prin platforme dedicate </w:t>
      </w:r>
      <w:r>
        <w:rPr>
          <w:rFonts w:ascii="Times New Roman" w:eastAsia="Times New Roman" w:hAnsi="Times New Roman" w:cs="Times New Roman"/>
          <w:sz w:val="24"/>
          <w:szCs w:val="24"/>
        </w:rPr>
        <w:t>participării tinerilor</w:t>
      </w:r>
      <w:r>
        <w:rPr>
          <w:rFonts w:ascii="Times New Roman" w:eastAsia="Times New Roman" w:hAnsi="Times New Roman" w:cs="Times New Roman"/>
          <w:color w:val="000000"/>
          <w:sz w:val="24"/>
          <w:szCs w:val="24"/>
        </w:rPr>
        <w:t>;</w:t>
      </w:r>
    </w:p>
    <w:p w14:paraId="2F196A7B" w14:textId="77777777" w:rsidR="00485A97" w:rsidRDefault="00976C54">
      <w:pPr>
        <w:numPr>
          <w:ilvl w:val="0"/>
          <w:numId w:val="12"/>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suport financiar și metodologic pentru realizarea inițiativelor civice;</w:t>
      </w:r>
    </w:p>
    <w:p w14:paraId="7D16C20D" w14:textId="77777777" w:rsidR="00485A97" w:rsidRDefault="00976C54">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sistem de colectare a datelor dezagregate privind situația tinerilor </w:t>
      </w:r>
      <w:r>
        <w:rPr>
          <w:rFonts w:ascii="Times New Roman" w:eastAsia="Times New Roman" w:hAnsi="Times New Roman" w:cs="Times New Roman"/>
          <w:sz w:val="24"/>
          <w:szCs w:val="24"/>
        </w:rPr>
        <w:t>și gradul de finanțare a sectorului per tânăr</w:t>
      </w:r>
      <w:r>
        <w:rPr>
          <w:rFonts w:ascii="Times New Roman" w:eastAsia="Times New Roman" w:hAnsi="Times New Roman" w:cs="Times New Roman"/>
          <w:color w:val="000000"/>
          <w:sz w:val="24"/>
          <w:szCs w:val="24"/>
        </w:rPr>
        <w:t>; </w:t>
      </w:r>
    </w:p>
    <w:p w14:paraId="6D1F76F7" w14:textId="77777777" w:rsidR="00485A97" w:rsidRDefault="00976C54">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programe de instruire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și capacitare </w:t>
      </w:r>
      <w:r>
        <w:rPr>
          <w:rFonts w:ascii="Times New Roman" w:eastAsia="Times New Roman" w:hAnsi="Times New Roman" w:cs="Times New Roman"/>
          <w:sz w:val="24"/>
          <w:szCs w:val="24"/>
        </w:rPr>
        <w:t>pentru actorii cheie și persoanele resurse</w:t>
      </w:r>
      <w:r>
        <w:rPr>
          <w:rFonts w:ascii="Times New Roman" w:eastAsia="Times New Roman" w:hAnsi="Times New Roman" w:cs="Times New Roman"/>
          <w:color w:val="000000"/>
          <w:sz w:val="24"/>
          <w:szCs w:val="24"/>
        </w:rPr>
        <w:t>;</w:t>
      </w:r>
    </w:p>
    <w:p w14:paraId="6B23C083" w14:textId="77777777" w:rsidR="00485A97" w:rsidRDefault="00976C54">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investiții în crearea spațiilor multifuncțional</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prietenoase tinerilor</w:t>
      </w:r>
      <w:r>
        <w:rPr>
          <w:rFonts w:ascii="Times New Roman" w:eastAsia="Times New Roman" w:hAnsi="Times New Roman" w:cs="Times New Roman"/>
          <w:sz w:val="24"/>
          <w:szCs w:val="24"/>
        </w:rPr>
        <w:t>;</w:t>
      </w:r>
    </w:p>
    <w:p w14:paraId="559D5940" w14:textId="77777777" w:rsidR="00485A97" w:rsidRDefault="00976C54">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programe de consolidare a capacităților instituționale pentru dezvoltarea politicilor publice cu impact asupra tinerilor.</w:t>
      </w:r>
    </w:p>
    <w:p w14:paraId="1075C93D" w14:textId="77777777" w:rsidR="00485A97" w:rsidRDefault="00485A97">
      <w:pPr>
        <w:spacing w:after="0" w:line="240" w:lineRule="auto"/>
        <w:rPr>
          <w:rFonts w:ascii="Times New Roman" w:eastAsia="Times New Roman" w:hAnsi="Times New Roman" w:cs="Times New Roman"/>
          <w:sz w:val="24"/>
          <w:szCs w:val="24"/>
        </w:rPr>
      </w:pPr>
    </w:p>
    <w:p w14:paraId="11B5EC99" w14:textId="77777777" w:rsidR="00485A97" w:rsidRDefault="00976C54">
      <w:pPr>
        <w:spacing w:before="12"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Resursele umane și financiare alocate pentru realizarea Strategiei sunt orientate spre: </w:t>
      </w:r>
    </w:p>
    <w:p w14:paraId="0B426F58" w14:textId="77777777" w:rsidR="00485A97" w:rsidRDefault="00976C54">
      <w:pPr>
        <w:numPr>
          <w:ilvl w:val="0"/>
          <w:numId w:val="1"/>
        </w:numPr>
        <w:spacing w:before="12"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asigurarea unui sector de tineret rezilient, sustenabil și suficient finanțat;</w:t>
      </w:r>
    </w:p>
    <w:p w14:paraId="0EB63A92"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crearea unui mediu echitabil în care tinerii din toate grupurilor pot beneficia de oportunități de dezvoltare;</w:t>
      </w:r>
    </w:p>
    <w:p w14:paraId="7FF19DF8"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asigurarea accesului la programe de tineret calitative prestate de către instituții și organizații specializate;</w:t>
      </w:r>
    </w:p>
    <w:p w14:paraId="7346365E"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consolidarea și extinderea comunității lucrătorilor calificați de tineret;</w:t>
      </w:r>
    </w:p>
    <w:p w14:paraId="67A096FA"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susținerea potențialului de inovare a tinerilor prin mecanisme de finanțare directă; </w:t>
      </w:r>
    </w:p>
    <w:p w14:paraId="16CCE524" w14:textId="77777777" w:rsidR="00485A97" w:rsidRDefault="00976C54">
      <w:pPr>
        <w:numPr>
          <w:ilvl w:val="0"/>
          <w:numId w:val="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promovarea participării semnificative a tinerilor în procesele decizionale prin platforme dedicate bazat</w:t>
      </w:r>
      <w:r>
        <w:rPr>
          <w:rFonts w:ascii="Times New Roman" w:eastAsia="Times New Roman" w:hAnsi="Times New Roman" w:cs="Times New Roman"/>
          <w:sz w:val="24"/>
          <w:szCs w:val="24"/>
        </w:rPr>
        <w:t xml:space="preserve">e pe principii </w:t>
      </w:r>
      <w:r>
        <w:rPr>
          <w:rFonts w:ascii="Times New Roman" w:eastAsia="Times New Roman" w:hAnsi="Times New Roman" w:cs="Times New Roman"/>
          <w:color w:val="000000"/>
          <w:sz w:val="24"/>
          <w:szCs w:val="24"/>
        </w:rPr>
        <w:t>de co-management; </w:t>
      </w:r>
    </w:p>
    <w:p w14:paraId="4D7F5445"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asigurarea sinergiei între educația non-formală și formală în cadrul instituțiilor de învățământ superior;</w:t>
      </w:r>
    </w:p>
    <w:p w14:paraId="28D0ABC4" w14:textId="77777777" w:rsidR="00485A97" w:rsidRDefault="00976C54">
      <w:pPr>
        <w:numPr>
          <w:ilvl w:val="0"/>
          <w:numId w:val="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împuternicirea tinerilor de a iniția și implica în acțiuni de dezvoltare </w:t>
      </w:r>
      <w:r>
        <w:rPr>
          <w:rFonts w:ascii="Times New Roman" w:eastAsia="Times New Roman" w:hAnsi="Times New Roman" w:cs="Times New Roman"/>
          <w:sz w:val="24"/>
          <w:szCs w:val="24"/>
        </w:rPr>
        <w:t>comunitară</w:t>
      </w:r>
      <w:r>
        <w:rPr>
          <w:rFonts w:ascii="Times New Roman" w:eastAsia="Times New Roman" w:hAnsi="Times New Roman" w:cs="Times New Roman"/>
          <w:color w:val="000000"/>
          <w:sz w:val="24"/>
          <w:szCs w:val="24"/>
        </w:rPr>
        <w:t>;</w:t>
      </w:r>
    </w:p>
    <w:p w14:paraId="685A49BB"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crearea unui sistem de dezvoltare a competențelor în rândul tinerilor prin activități de educație non-formală; </w:t>
      </w:r>
    </w:p>
    <w:p w14:paraId="6ACB685E"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crearea mecanismelor de colectare, monitorizare și utilizare a datelor relevante cu privire la situația tinerilor;</w:t>
      </w:r>
    </w:p>
    <w:p w14:paraId="186FCB66"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promovarea, recunoașterea și extinderea particularităților lucrului de tineret; </w:t>
      </w:r>
    </w:p>
    <w:p w14:paraId="13DAB53D" w14:textId="77777777" w:rsidR="00485A97" w:rsidRDefault="00976C54">
      <w:pPr>
        <w:numPr>
          <w:ilvl w:val="0"/>
          <w:numId w:val="1"/>
        </w:num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anticiparea viitoarelor tendințe, provocări și oportunități și crearea unui ecosistem capabil să se racordeze la acestea.</w:t>
      </w:r>
    </w:p>
    <w:p w14:paraId="4867ACF1"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4C6273D7" w14:textId="77777777" w:rsidR="00485A97" w:rsidRDefault="00976C54">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Direcții prioritare de intervenție</w:t>
      </w:r>
    </w:p>
    <w:p w14:paraId="7802D439"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1F9475BC"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Divizată în două programe de implementare realizate progresiv, Strategia Tineret 2030 propune o intervenție inițial verticală, urmând o integrare pe orizontală a perspectivei de tineret în cadrul politicilor sectoriale relevante în cadrul celui de al doilea program.  </w:t>
      </w:r>
    </w:p>
    <w:p w14:paraId="1D757DD9"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3F69AB6C"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primă instanță, este abordată construcția unui sector rezilient de tineret în jurul căruia sunt construite intervențiile sectoriale dedicate tinerilor. În acest sens, documentul de politici pune accent pe consolidarea instituțională și capacitarea resurselor umane ce activează în domeniu ca repere de </w:t>
      </w:r>
      <w:r>
        <w:rPr>
          <w:rFonts w:ascii="Times New Roman" w:eastAsia="Times New Roman" w:hAnsi="Times New Roman" w:cs="Times New Roman"/>
          <w:sz w:val="24"/>
          <w:szCs w:val="24"/>
        </w:rPr>
        <w:lastRenderedPageBreak/>
        <w:t>realizare a programelor de tineret. Autoritățile, instituțiile și organizațiile care au capacitatea de a realiza politici și programe centrate pe necesitățile tinerilor reprezintă cheia sustenabilității sectorului.</w:t>
      </w:r>
    </w:p>
    <w:p w14:paraId="53E233E9"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27EE5E24"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cea de a doua instanță, documentul abordează tinerii ca actori activi civic și decizional, acoperind prin intervențiile trasate segmentele care rămân a fi proprii domeniului: activism civic și voluntariat, participare semnificativă, implicare în dezvoltare comunitară și locală, dezvoltarea competențelor prin educație non-formală, lucru de tineret și inovație socială. În acest sens, documentul pune accent pe instrumentele de împuternicire a tinerilor ca indivizi, grupuri de inițiativă și organizații de tineret pentru a își realiza potențialul și creștere a rezilienței tinerilor în fața schimbărilor sau șocurilor sociale și economice.</w:t>
      </w:r>
    </w:p>
    <w:p w14:paraId="7E9E6583"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1DA95C03"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cea de a treia instanță, strategia trasează intervenții de suport direct pentru susținerea realizării potențialului de inovație al tinerilor prin mecanisme și scheme de finanțare distincte. Oportunitățile de finanțare sunt diversificate pentru a acoperi inițiativele individuale ale tinerilor, a grupurilor de inițiativă non-formale sau a organizațiilor de tineret. Pentru a acoperi în aspect geografic și social o arie extinsă a tinerilor sunt utilizate ca punct de intrare în politici, instituțiile cu acces ridicat la beneficiarii direcți, precum autoritățile publice locale, organizațiile de tineret și instituțiile de învățământ. </w:t>
      </w:r>
    </w:p>
    <w:p w14:paraId="053B97AA"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 mult ca atât, Strategia </w:t>
      </w:r>
      <w:r>
        <w:rPr>
          <w:rFonts w:ascii="Times New Roman" w:eastAsia="Times New Roman" w:hAnsi="Times New Roman" w:cs="Times New Roman"/>
          <w:i/>
          <w:sz w:val="24"/>
          <w:szCs w:val="24"/>
        </w:rPr>
        <w:t>Tineret 2030</w:t>
      </w:r>
      <w:r>
        <w:rPr>
          <w:rFonts w:ascii="Times New Roman" w:eastAsia="Times New Roman" w:hAnsi="Times New Roman" w:cs="Times New Roman"/>
          <w:sz w:val="24"/>
          <w:szCs w:val="24"/>
        </w:rPr>
        <w:t xml:space="preserve"> creează premise pentru dezvoltarea și instituționalizarea mecanismelor de incluziune socială a grupurilor de tineri defavorizați, astfel asigurându-se incluziunea acestora în procesele decizionale și dezvoltarea comunitară. </w:t>
      </w:r>
    </w:p>
    <w:p w14:paraId="5A360D8D"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Direcțiile prioritare de intervenție se conturează în jurul a trei direcții de orientare strategică distincte în abordare și intervenții:</w:t>
      </w:r>
    </w:p>
    <w:p w14:paraId="66B2CE49" w14:textId="77777777" w:rsidR="00485A97" w:rsidRDefault="00485A97">
      <w:pPr>
        <w:shd w:val="clear" w:color="auto" w:fill="FFFFFF"/>
        <w:spacing w:after="0" w:line="240" w:lineRule="auto"/>
        <w:jc w:val="both"/>
        <w:rPr>
          <w:rFonts w:ascii="Times New Roman" w:eastAsia="Times New Roman" w:hAnsi="Times New Roman" w:cs="Times New Roman"/>
          <w:b/>
          <w:sz w:val="24"/>
          <w:szCs w:val="24"/>
        </w:rPr>
      </w:pPr>
    </w:p>
    <w:p w14:paraId="74A0AE38"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DIRECȚII DE ORIENTARE STRATEGICĂ</w:t>
      </w:r>
    </w:p>
    <w:p w14:paraId="5348832B"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DCE6F5" w14:textId="77777777" w:rsidR="00485A97" w:rsidRDefault="00976C54">
      <w:pPr>
        <w:numPr>
          <w:ilvl w:val="0"/>
          <w:numId w:val="9"/>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Lucru de tineret calitativ, accesibil și inclusi</w:t>
      </w:r>
      <w:r>
        <w:rPr>
          <w:rFonts w:ascii="Times New Roman" w:eastAsia="Times New Roman" w:hAnsi="Times New Roman" w:cs="Times New Roman"/>
          <w:b/>
          <w:sz w:val="24"/>
          <w:szCs w:val="24"/>
        </w:rPr>
        <w:t>v</w:t>
      </w:r>
      <w:r>
        <w:rPr>
          <w:rFonts w:ascii="Times New Roman" w:eastAsia="Times New Roman" w:hAnsi="Times New Roman" w:cs="Times New Roman"/>
          <w:b/>
          <w:color w:val="000000"/>
          <w:sz w:val="24"/>
          <w:szCs w:val="24"/>
        </w:rPr>
        <w:t xml:space="preserve"> </w:t>
      </w:r>
    </w:p>
    <w:p w14:paraId="789512C7" w14:textId="77777777" w:rsidR="00485A97" w:rsidRDefault="00976C5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Direcția de orientarea strategică I are la bază o intervenție sistemică a statului centrată pe d</w:t>
      </w:r>
      <w:r>
        <w:rPr>
          <w:rFonts w:ascii="Times New Roman" w:eastAsia="Times New Roman" w:hAnsi="Times New Roman" w:cs="Times New Roman"/>
          <w:color w:val="000000"/>
          <w:sz w:val="24"/>
          <w:szCs w:val="24"/>
        </w:rPr>
        <w:t>ezvoltarea capacităților în cadrul sectorului pentru realizarea proiectelor și programelor calitative de tineret bazate pe necesitățile tinerilor. </w:t>
      </w:r>
    </w:p>
    <w:p w14:paraId="09FE4AF7"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Lucrul de tineret</w:t>
      </w:r>
      <w:r>
        <w:rPr>
          <w:rFonts w:ascii="Times New Roman" w:eastAsia="Times New Roman" w:hAnsi="Times New Roman" w:cs="Times New Roman"/>
          <w:sz w:val="24"/>
          <w:szCs w:val="24"/>
        </w:rPr>
        <w:t xml:space="preserve"> este realizat de către persoane competente, care dețin abilități organizatorice și utilizează instrumente de mobilizare a tinerilor în activități cu caracter non-formal. Lucrul de tineret are scopul de a antrena tinerii în activități favorabile dezvoltării lor, în care aceștia se pot simți în siguranță, centrate pe împuternicirea lor pentru a-și realiza potențialul.</w:t>
      </w:r>
    </w:p>
    <w:p w14:paraId="7B8EA424"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2A3C050C"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Lucrul de tineret poate fi realizat atât în mod organizat, planificat și instituționalizat, cât și în mod spontan în cadrul unor activități cu caracter ocazional. Indiferent de modul și modalitatea organizării acestuia, persoanele (lucrătorii de tineret) care lucrează la direct cu beneficiarul este necesar să dețină competențele și abilitățile necesare pentru a realiza o activitate calitativă cu impact pozitiv. </w:t>
      </w:r>
    </w:p>
    <w:p w14:paraId="5B9A5C86"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4BDC5F3D"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Direcția de orientarea strategică I se concentrează pe promovarea unei abordări holistice în dezvoltarea lucrului de tineret. Intervenția în cadrul Strategiei acoperă aspectele ce contribuie la realizarea lucrului într-un mod calitativ, de către persoane pregătite, într-un mediu oportun dezvoltării. </w:t>
      </w:r>
    </w:p>
    <w:p w14:paraId="603E89D7" w14:textId="77777777" w:rsidR="00485A97" w:rsidRDefault="00485A97">
      <w:pPr>
        <w:shd w:val="clear" w:color="auto" w:fill="FFFFFF"/>
        <w:spacing w:after="0" w:line="240" w:lineRule="auto"/>
        <w:jc w:val="both"/>
        <w:rPr>
          <w:rFonts w:ascii="Times New Roman" w:eastAsia="Times New Roman" w:hAnsi="Times New Roman" w:cs="Times New Roman"/>
          <w:b/>
          <w:color w:val="000000"/>
          <w:sz w:val="24"/>
          <w:szCs w:val="24"/>
        </w:rPr>
      </w:pPr>
    </w:p>
    <w:p w14:paraId="5A3ADF69" w14:textId="77777777" w:rsidR="00485A97" w:rsidRDefault="00976C54">
      <w:pPr>
        <w:shd w:val="clear" w:color="auto" w:fill="FFFFFF"/>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00"/>
          <w:sz w:val="24"/>
          <w:szCs w:val="24"/>
        </w:rPr>
        <w:t>Obiectiv General I - C</w:t>
      </w:r>
      <w:r>
        <w:rPr>
          <w:rFonts w:ascii="Times New Roman" w:eastAsia="Times New Roman" w:hAnsi="Times New Roman" w:cs="Times New Roman"/>
          <w:b/>
          <w:sz w:val="24"/>
          <w:szCs w:val="24"/>
        </w:rPr>
        <w:t xml:space="preserve">reșterea numărului de tineri care beneficiază de programe calitative de tineret prin consolidarea capacităților în cadrul sectorului și profesionalizarea resurselor umane </w:t>
      </w:r>
    </w:p>
    <w:p w14:paraId="1F99A4F9"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Direcții prioritare de acțiune:</w:t>
      </w:r>
    </w:p>
    <w:p w14:paraId="645AB886" w14:textId="77777777" w:rsidR="00485A97" w:rsidRDefault="00976C54">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Îmbunătățirea sistemului de prestare a programelor calitative de tineret prin intermediul Centrelor de tineret prin dezvoltarea instrumentarului și a metodologiilor necesare;</w:t>
      </w:r>
    </w:p>
    <w:p w14:paraId="0765E53E" w14:textId="77777777" w:rsidR="00485A97" w:rsidRDefault="00976C54">
      <w:pPr>
        <w:numPr>
          <w:ilvl w:val="0"/>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Dezvoltarea cadrului normativ și regulator privind activitatea și salarizarea lucrătorilor de tineret</w:t>
      </w:r>
      <w:r>
        <w:rPr>
          <w:rFonts w:ascii="Times New Roman" w:eastAsia="Times New Roman" w:hAnsi="Times New Roman" w:cs="Times New Roman"/>
          <w:sz w:val="24"/>
          <w:szCs w:val="24"/>
        </w:rPr>
        <w:t>;</w:t>
      </w:r>
    </w:p>
    <w:p w14:paraId="6B1838F6" w14:textId="77777777" w:rsidR="00485A97" w:rsidRDefault="00976C54">
      <w:pPr>
        <w:numPr>
          <w:ilvl w:val="0"/>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Crearea sistemului de colectare a informației statistice dezagregate privind programele de tineret realizate și evaluarea impactului asupra </w:t>
      </w:r>
      <w:r>
        <w:rPr>
          <w:rFonts w:ascii="Times New Roman" w:eastAsia="Times New Roman" w:hAnsi="Times New Roman" w:cs="Times New Roman"/>
          <w:sz w:val="24"/>
          <w:szCs w:val="24"/>
        </w:rPr>
        <w:t>bunăstării</w:t>
      </w:r>
      <w:r>
        <w:rPr>
          <w:rFonts w:ascii="Times New Roman" w:eastAsia="Times New Roman" w:hAnsi="Times New Roman" w:cs="Times New Roman"/>
          <w:color w:val="000000"/>
          <w:sz w:val="24"/>
          <w:szCs w:val="24"/>
        </w:rPr>
        <w:t xml:space="preserve"> tinerilor</w:t>
      </w:r>
      <w:r>
        <w:rPr>
          <w:rFonts w:ascii="Times New Roman" w:eastAsia="Times New Roman" w:hAnsi="Times New Roman" w:cs="Times New Roman"/>
          <w:sz w:val="24"/>
          <w:szCs w:val="24"/>
        </w:rPr>
        <w:t>;</w:t>
      </w:r>
    </w:p>
    <w:p w14:paraId="1B4E3379" w14:textId="77777777" w:rsidR="00485A97" w:rsidRDefault="00976C54">
      <w:pPr>
        <w:numPr>
          <w:ilvl w:val="0"/>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Dezvoltarea sistemului de calificare, profesionalizare și recunoaștere a competențelor lucrătorilor de tineret;</w:t>
      </w:r>
    </w:p>
    <w:p w14:paraId="22197769" w14:textId="77777777" w:rsidR="00485A97" w:rsidRDefault="00976C54">
      <w:pPr>
        <w:numPr>
          <w:ilvl w:val="0"/>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Eficientizarea procesului de pregătire a lucrătorilor de tineret din organizațiile de tineret prin asigurarea calității programelor de instruire continuă</w:t>
      </w:r>
      <w:r>
        <w:rPr>
          <w:rFonts w:ascii="Times New Roman" w:eastAsia="Times New Roman" w:hAnsi="Times New Roman" w:cs="Times New Roman"/>
          <w:sz w:val="24"/>
          <w:szCs w:val="24"/>
        </w:rPr>
        <w:t>.</w:t>
      </w:r>
    </w:p>
    <w:p w14:paraId="57B08AC3" w14:textId="77777777" w:rsidR="0050158C" w:rsidRDefault="0050158C">
      <w:pPr>
        <w:shd w:val="clear" w:color="auto" w:fill="FFFFFF"/>
        <w:spacing w:after="0" w:line="240" w:lineRule="auto"/>
        <w:jc w:val="both"/>
        <w:rPr>
          <w:rFonts w:ascii="Times New Roman" w:hAnsi="Times New Roman"/>
          <w:b/>
          <w:i/>
          <w:noProof/>
          <w:sz w:val="24"/>
          <w:szCs w:val="24"/>
        </w:rPr>
      </w:pPr>
      <w:r w:rsidRPr="00F60E87">
        <w:rPr>
          <w:rFonts w:ascii="Times New Roman" w:hAnsi="Times New Roman"/>
          <w:b/>
          <w:i/>
          <w:noProof/>
          <w:sz w:val="24"/>
          <w:szCs w:val="24"/>
        </w:rPr>
        <w:t xml:space="preserve">Rezultatele așteptate în urma realizării OBIECTIVULUI GENERAL </w:t>
      </w:r>
      <w:r w:rsidR="00DC0E71">
        <w:rPr>
          <w:rFonts w:ascii="Times New Roman" w:hAnsi="Times New Roman"/>
          <w:b/>
          <w:i/>
          <w:noProof/>
          <w:sz w:val="24"/>
          <w:szCs w:val="24"/>
        </w:rPr>
        <w:t>1</w:t>
      </w:r>
    </w:p>
    <w:p w14:paraId="2AC84B29" w14:textId="77777777" w:rsidR="0050158C" w:rsidRDefault="0050158C">
      <w:pPr>
        <w:shd w:val="clear" w:color="auto" w:fill="FFFFFF"/>
        <w:spacing w:after="0" w:line="240" w:lineRule="auto"/>
        <w:jc w:val="both"/>
        <w:rPr>
          <w:rFonts w:ascii="Times New Roman" w:hAnsi="Times New Roman"/>
          <w:b/>
          <w:i/>
          <w:noProof/>
          <w:sz w:val="24"/>
          <w:szCs w:val="24"/>
        </w:rPr>
      </w:pPr>
      <w:r>
        <w:rPr>
          <w:rFonts w:ascii="Times New Roman" w:hAnsi="Times New Roman"/>
          <w:b/>
          <w:i/>
          <w:noProof/>
          <w:sz w:val="24"/>
          <w:szCs w:val="24"/>
        </w:rPr>
        <w:t>Va crește numărul de programe calitative de tineret prestate de Centrele de tineret</w:t>
      </w:r>
      <w:r w:rsidR="00DC0E71">
        <w:rPr>
          <w:rFonts w:ascii="Times New Roman" w:hAnsi="Times New Roman"/>
          <w:b/>
          <w:i/>
          <w:noProof/>
          <w:sz w:val="24"/>
          <w:szCs w:val="24"/>
        </w:rPr>
        <w:t>:</w:t>
      </w:r>
    </w:p>
    <w:p w14:paraId="60F82215" w14:textId="37256879"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1</w:t>
      </w: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 xml:space="preserve"> Centrele de tineret își diversifică oferta de programe calitative și incluzive pentru tineri</w:t>
      </w:r>
    </w:p>
    <w:p w14:paraId="2A4076B1" w14:textId="10B87C14"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2</w:t>
      </w: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 xml:space="preserve"> Centrele de tineret își consolidează capacitățile instituționale</w:t>
      </w:r>
    </w:p>
    <w:p w14:paraId="06162FD5" w14:textId="1D0A4C8F"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3</w:t>
      </w:r>
      <w:r w:rsidRPr="005F6327">
        <w:rPr>
          <w:rFonts w:ascii="Times New Roman" w:eastAsia="Times New Roman" w:hAnsi="Times New Roman" w:cs="Times New Roman"/>
          <w:sz w:val="24"/>
          <w:szCs w:val="24"/>
        </w:rPr>
        <w:t>)</w:t>
      </w:r>
      <w:r w:rsidR="00976C54" w:rsidRPr="005F6327">
        <w:rPr>
          <w:rFonts w:ascii="Times New Roman" w:eastAsia="Times New Roman" w:hAnsi="Times New Roman" w:cs="Times New Roman"/>
          <w:sz w:val="24"/>
          <w:szCs w:val="24"/>
        </w:rPr>
        <w:t xml:space="preserve"> Lucrătorii de tineret din cadrul Centrelor de tineret își dezvoltă abilitățile profesionale de bază</w:t>
      </w:r>
    </w:p>
    <w:p w14:paraId="537EEA06" w14:textId="0217011E"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(4)</w:t>
      </w:r>
      <w:r w:rsidR="00976C54" w:rsidRPr="005F6327">
        <w:rPr>
          <w:rFonts w:ascii="Times New Roman" w:eastAsia="Times New Roman" w:hAnsi="Times New Roman" w:cs="Times New Roman"/>
          <w:sz w:val="24"/>
          <w:szCs w:val="24"/>
        </w:rPr>
        <w:t xml:space="preserve"> Tinerii din toate zonele geografice ale Republicii Moldova au acces sporit la programe de tineret</w:t>
      </w:r>
    </w:p>
    <w:p w14:paraId="46E4BB93" w14:textId="41D5FF56"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(5)</w:t>
      </w:r>
      <w:r w:rsidR="005F6327" w:rsidRPr="005F6327">
        <w:rPr>
          <w:rFonts w:ascii="Times New Roman" w:eastAsia="Times New Roman" w:hAnsi="Times New Roman" w:cs="Times New Roman"/>
          <w:sz w:val="24"/>
          <w:szCs w:val="24"/>
        </w:rPr>
        <w:t xml:space="preserve"> </w:t>
      </w:r>
      <w:r w:rsidR="00976C54" w:rsidRPr="005F6327">
        <w:rPr>
          <w:rFonts w:ascii="Times New Roman" w:eastAsia="Times New Roman" w:hAnsi="Times New Roman" w:cs="Times New Roman"/>
          <w:sz w:val="24"/>
          <w:szCs w:val="24"/>
        </w:rPr>
        <w:t>Organizațiile de tineret cre</w:t>
      </w:r>
      <w:r w:rsidRPr="005F6327">
        <w:rPr>
          <w:rFonts w:ascii="Times New Roman" w:eastAsia="Times New Roman" w:hAnsi="Times New Roman" w:cs="Times New Roman"/>
          <w:sz w:val="24"/>
          <w:szCs w:val="24"/>
        </w:rPr>
        <w:t>e</w:t>
      </w:r>
      <w:r w:rsidR="00976C54" w:rsidRPr="005F6327">
        <w:rPr>
          <w:rFonts w:ascii="Times New Roman" w:eastAsia="Times New Roman" w:hAnsi="Times New Roman" w:cs="Times New Roman"/>
          <w:sz w:val="24"/>
          <w:szCs w:val="24"/>
        </w:rPr>
        <w:t>ază parteneriate cu autoritățile publice locale pentru a extinde programele de tineret</w:t>
      </w:r>
    </w:p>
    <w:p w14:paraId="31C20134" w14:textId="632C8127"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(6)</w:t>
      </w:r>
      <w:r w:rsidR="00976C54" w:rsidRPr="005F6327">
        <w:rPr>
          <w:rFonts w:ascii="Times New Roman" w:eastAsia="Times New Roman" w:hAnsi="Times New Roman" w:cs="Times New Roman"/>
          <w:sz w:val="24"/>
          <w:szCs w:val="24"/>
        </w:rPr>
        <w:t xml:space="preserve"> Procedurile pentru profesionalizarea și recunoașterea competențelor de lucru de tineret devin funcționale</w:t>
      </w:r>
    </w:p>
    <w:p w14:paraId="7AB4FC42" w14:textId="31A39B20"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(7)</w:t>
      </w:r>
      <w:r w:rsidR="005F6327" w:rsidRPr="005F6327">
        <w:rPr>
          <w:rFonts w:ascii="Times New Roman" w:eastAsia="Times New Roman" w:hAnsi="Times New Roman" w:cs="Times New Roman"/>
          <w:sz w:val="24"/>
          <w:szCs w:val="24"/>
        </w:rPr>
        <w:t xml:space="preserve"> </w:t>
      </w:r>
      <w:r w:rsidR="00976C54" w:rsidRPr="005F6327">
        <w:rPr>
          <w:rFonts w:ascii="Times New Roman" w:eastAsia="Times New Roman" w:hAnsi="Times New Roman" w:cs="Times New Roman"/>
          <w:sz w:val="24"/>
          <w:szCs w:val="24"/>
        </w:rPr>
        <w:t>Lucrătorii de tineret dispun de metodologii și instrumente practice pentru a organiza lucrul de tineret calitativ</w:t>
      </w:r>
    </w:p>
    <w:p w14:paraId="0C3E5E0D" w14:textId="34267B36" w:rsidR="00485A97" w:rsidRPr="005F6327" w:rsidRDefault="0050158C">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(8)</w:t>
      </w:r>
      <w:r w:rsidR="00976C54" w:rsidRPr="005F6327">
        <w:rPr>
          <w:rFonts w:ascii="Times New Roman" w:eastAsia="Times New Roman" w:hAnsi="Times New Roman" w:cs="Times New Roman"/>
          <w:sz w:val="24"/>
          <w:szCs w:val="24"/>
        </w:rPr>
        <w:t xml:space="preserve"> Modalitatea de salarizare a lucrătorilor de tineret este îmbunătățită</w:t>
      </w:r>
    </w:p>
    <w:p w14:paraId="600F81F8" w14:textId="77777777" w:rsidR="007B0B4F" w:rsidRDefault="007B0B4F" w:rsidP="0050158C">
      <w:pPr>
        <w:shd w:val="clear" w:color="auto" w:fill="FFFFFF"/>
        <w:spacing w:after="0" w:line="240" w:lineRule="auto"/>
        <w:jc w:val="both"/>
        <w:rPr>
          <w:rFonts w:ascii="Times New Roman" w:eastAsia="Times New Roman" w:hAnsi="Times New Roman" w:cs="Times New Roman"/>
          <w:sz w:val="24"/>
          <w:szCs w:val="24"/>
        </w:rPr>
      </w:pPr>
    </w:p>
    <w:p w14:paraId="4FAAC5C1" w14:textId="49E48D5A" w:rsidR="0050158C" w:rsidRDefault="0050158C" w:rsidP="005015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Impact scontat: </w:t>
      </w:r>
      <w:r>
        <w:rPr>
          <w:rFonts w:ascii="Times New Roman" w:eastAsia="Times New Roman" w:hAnsi="Times New Roman" w:cs="Times New Roman"/>
          <w:color w:val="000000"/>
          <w:sz w:val="24"/>
          <w:szCs w:val="24"/>
        </w:rPr>
        <w:t>Programele de tineret prestate de Centrele de tineret sunt centrate pe nevoile tinerilor, respectă criteriile de calitate și sunt accesibile tuturor categoriilor de tineri</w:t>
      </w:r>
    </w:p>
    <w:p w14:paraId="65715D52" w14:textId="77777777" w:rsidR="00485A97" w:rsidRDefault="00485A97">
      <w:pPr>
        <w:shd w:val="clear" w:color="auto" w:fill="FFFFFF"/>
        <w:spacing w:after="0" w:line="240" w:lineRule="auto"/>
        <w:ind w:firstLine="540"/>
        <w:jc w:val="both"/>
        <w:rPr>
          <w:rFonts w:ascii="Times New Roman" w:eastAsia="Times New Roman" w:hAnsi="Times New Roman" w:cs="Times New Roman"/>
          <w:sz w:val="24"/>
          <w:szCs w:val="24"/>
        </w:rPr>
      </w:pPr>
    </w:p>
    <w:p w14:paraId="4915F552"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6A711F28" w14:textId="77777777" w:rsidR="00485A97" w:rsidRDefault="00976C54">
      <w:pPr>
        <w:numPr>
          <w:ilvl w:val="0"/>
          <w:numId w:val="9"/>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Crearea culturii de participare civică și decizională în rândul tinerilor </w:t>
      </w:r>
    </w:p>
    <w:p w14:paraId="10C52F9B"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Împuternicirea tinerilor pentru a se implica în dezvoltarea socială și economică a statului reprezintă </w:t>
      </w:r>
      <w:r>
        <w:rPr>
          <w:rFonts w:ascii="Times New Roman" w:eastAsia="Times New Roman" w:hAnsi="Times New Roman" w:cs="Times New Roman"/>
          <w:sz w:val="24"/>
          <w:szCs w:val="24"/>
        </w:rPr>
        <w:t xml:space="preserve">unul din atributele proprii politicii de tineret. Prin promovarea abordării non-formale în educație și utilizarea instrumentelor de lucru cu tinerii, tinerii nu doar însușesc competențe, dar și sunt motivați și porniți să le ofere aplicabilitate. </w:t>
      </w:r>
    </w:p>
    <w:p w14:paraId="77BFFA43"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1AF0DBF2"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rezultat al erei tehnologiilor informaționale este reducerea în ritm alert a implicării tinerilor în interacțiune și dezvoltare socială sau comunitară. Direcția de orientarea strategică II abordează în complex elementul de împuternicire prin intervenții pe partea de abilitare, motivare, promovare și suport pentru tineri în dezvoltarea ideilor și aplicarea acestora în comunitatea proprie. Punctul de intrare în politica de participare este atât pe partea de autorități locale, cât și pe partea de grupuri de inițiativă și organizații de tineret. Abordate în complex acestea contribuie la creșterea activismului tinerilor și implicării în viața socială și economică a statului. </w:t>
      </w:r>
    </w:p>
    <w:p w14:paraId="25329348"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048E5C2" w14:textId="65BE2028"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Obiectiv General II - </w:t>
      </w:r>
      <w:r>
        <w:rPr>
          <w:rFonts w:ascii="Times New Roman" w:eastAsia="Times New Roman" w:hAnsi="Times New Roman" w:cs="Times New Roman"/>
          <w:b/>
          <w:sz w:val="24"/>
          <w:szCs w:val="24"/>
        </w:rPr>
        <w:t xml:space="preserve">Creșterea nivelului de participare și implicare civică prin programe de instruire, capacitare și împuternicire a tinerilor </w:t>
      </w:r>
    </w:p>
    <w:p w14:paraId="27A30A96"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Direcții prioritare de acțiune:</w:t>
      </w:r>
    </w:p>
    <w:p w14:paraId="34D9DE6E"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Îmbunătățirea cadrului normativ și </w:t>
      </w:r>
      <w:r>
        <w:rPr>
          <w:rFonts w:ascii="Times New Roman" w:eastAsia="Times New Roman" w:hAnsi="Times New Roman" w:cs="Times New Roman"/>
          <w:sz w:val="24"/>
          <w:szCs w:val="24"/>
        </w:rPr>
        <w:t>instrumentarului</w:t>
      </w:r>
      <w:r>
        <w:rPr>
          <w:rFonts w:ascii="Times New Roman" w:eastAsia="Times New Roman" w:hAnsi="Times New Roman" w:cs="Times New Roman"/>
          <w:color w:val="000000"/>
          <w:sz w:val="24"/>
          <w:szCs w:val="24"/>
        </w:rPr>
        <w:t xml:space="preserve"> de practicare a voluntariatului;</w:t>
      </w:r>
    </w:p>
    <w:p w14:paraId="2536F5CF"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Valorificarea potențialului civic al tinerilor prin diversificarea </w:t>
      </w:r>
      <w:r>
        <w:rPr>
          <w:rFonts w:ascii="Times New Roman" w:eastAsia="Times New Roman" w:hAnsi="Times New Roman" w:cs="Times New Roman"/>
          <w:sz w:val="24"/>
          <w:szCs w:val="24"/>
        </w:rPr>
        <w:t>instrumentarului</w:t>
      </w:r>
      <w:r>
        <w:rPr>
          <w:rFonts w:ascii="Times New Roman" w:eastAsia="Times New Roman" w:hAnsi="Times New Roman" w:cs="Times New Roman"/>
          <w:color w:val="000000"/>
          <w:sz w:val="24"/>
          <w:szCs w:val="24"/>
        </w:rPr>
        <w:t xml:space="preserve"> de practicare și recunoaștere a voluntariatului</w:t>
      </w:r>
      <w:r>
        <w:rPr>
          <w:rFonts w:ascii="Times New Roman" w:eastAsia="Times New Roman" w:hAnsi="Times New Roman" w:cs="Times New Roman"/>
          <w:sz w:val="24"/>
          <w:szCs w:val="24"/>
        </w:rPr>
        <w:t>;</w:t>
      </w:r>
    </w:p>
    <w:p w14:paraId="4880C37E"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Dezvoltarea și implementarea instrumentelor digitale de promovare a oportunităților de voluntariat pentru creșterea gradului de activism civic al tinerilor;</w:t>
      </w:r>
    </w:p>
    <w:p w14:paraId="0ED88295"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Reconceptualizarea și diversificarea oportunităților și platformelor de participare în procesele decizionale a tinerilor la nivel local, național și internațional</w:t>
      </w:r>
      <w:r>
        <w:rPr>
          <w:rFonts w:ascii="Times New Roman" w:eastAsia="Times New Roman" w:hAnsi="Times New Roman" w:cs="Times New Roman"/>
          <w:sz w:val="24"/>
          <w:szCs w:val="24"/>
        </w:rPr>
        <w:t>;</w:t>
      </w:r>
    </w:p>
    <w:p w14:paraId="23163E63"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Responsabilizarea autorităților publice pentru implicarea tinerilor și organizațiilor de tineret în procesele decizionale ce îi vizează;</w:t>
      </w:r>
    </w:p>
    <w:p w14:paraId="27640E8B"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Crearea reperelor metodologice și realizarea cursului de instruire continuă pentru autoritățile publice locale privind implicarea tinerilor;</w:t>
      </w:r>
    </w:p>
    <w:p w14:paraId="448EB546"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Crearea rețelei de tineri organizatori comunitari;</w:t>
      </w:r>
    </w:p>
    <w:p w14:paraId="31CD22E9" w14:textId="77777777" w:rsidR="00485A97" w:rsidRDefault="00976C54">
      <w:pPr>
        <w:numPr>
          <w:ilvl w:val="0"/>
          <w:numId w:val="7"/>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Extinderea numărul de organizatori și grupuri comunitare a tinerilor pentru rezolvarea</w:t>
      </w:r>
      <w:r>
        <w:rPr>
          <w:rFonts w:ascii="Times New Roman" w:eastAsia="Times New Roman" w:hAnsi="Times New Roman" w:cs="Times New Roman"/>
          <w:sz w:val="24"/>
          <w:szCs w:val="24"/>
        </w:rPr>
        <w:t>.</w:t>
      </w:r>
    </w:p>
    <w:p w14:paraId="2F315596" w14:textId="77777777" w:rsidR="007B0B4F" w:rsidRDefault="007B0B4F">
      <w:pPr>
        <w:shd w:val="clear" w:color="auto" w:fill="FFFFFF"/>
        <w:spacing w:after="0" w:line="240" w:lineRule="auto"/>
        <w:jc w:val="both"/>
        <w:rPr>
          <w:rFonts w:ascii="Times New Roman" w:eastAsia="Times New Roman" w:hAnsi="Times New Roman" w:cs="Times New Roman"/>
          <w:b/>
          <w:color w:val="000000"/>
          <w:sz w:val="24"/>
          <w:szCs w:val="24"/>
        </w:rPr>
      </w:pPr>
    </w:p>
    <w:p w14:paraId="7A514885" w14:textId="33B7D9F5" w:rsidR="00485A97" w:rsidRDefault="00B22BF7">
      <w:pPr>
        <w:shd w:val="clear" w:color="auto" w:fill="FFFFFF"/>
        <w:spacing w:after="0" w:line="240" w:lineRule="auto"/>
        <w:jc w:val="both"/>
        <w:rPr>
          <w:rFonts w:ascii="Times New Roman" w:hAnsi="Times New Roman"/>
          <w:b/>
          <w:i/>
          <w:noProof/>
          <w:sz w:val="24"/>
          <w:szCs w:val="24"/>
        </w:rPr>
      </w:pPr>
      <w:r w:rsidRPr="00F60E87">
        <w:rPr>
          <w:rFonts w:ascii="Times New Roman" w:hAnsi="Times New Roman"/>
          <w:b/>
          <w:i/>
          <w:noProof/>
          <w:sz w:val="24"/>
          <w:szCs w:val="24"/>
        </w:rPr>
        <w:t>Rezultatele așteptate în urma realizării OBIECTIVULUI GENERAL</w:t>
      </w:r>
      <w:r w:rsidR="00DC0E71">
        <w:rPr>
          <w:rFonts w:ascii="Times New Roman" w:hAnsi="Times New Roman"/>
          <w:b/>
          <w:i/>
          <w:noProof/>
          <w:sz w:val="24"/>
          <w:szCs w:val="24"/>
        </w:rPr>
        <w:t xml:space="preserve"> 2</w:t>
      </w:r>
    </w:p>
    <w:p w14:paraId="504BCCF8" w14:textId="77777777" w:rsidR="007B0B4F" w:rsidRDefault="007B0B4F">
      <w:pPr>
        <w:shd w:val="clear" w:color="auto" w:fill="FFFFFF"/>
        <w:spacing w:after="0" w:line="240" w:lineRule="auto"/>
        <w:jc w:val="both"/>
        <w:rPr>
          <w:rFonts w:ascii="Times New Roman" w:hAnsi="Times New Roman"/>
          <w:b/>
          <w:i/>
          <w:noProof/>
          <w:sz w:val="24"/>
          <w:szCs w:val="24"/>
        </w:rPr>
      </w:pPr>
    </w:p>
    <w:p w14:paraId="1B5819BE" w14:textId="77777777" w:rsidR="00B22BF7" w:rsidRDefault="00B22BF7">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b/>
          <w:i/>
          <w:noProof/>
          <w:sz w:val="24"/>
          <w:szCs w:val="24"/>
        </w:rPr>
        <w:t>Va crește nivelul de participare și implicare civică a tinerilor</w:t>
      </w:r>
      <w:r w:rsidR="00DC0E71">
        <w:rPr>
          <w:rFonts w:ascii="Times New Roman" w:hAnsi="Times New Roman"/>
          <w:b/>
          <w:i/>
          <w:noProof/>
          <w:sz w:val="24"/>
          <w:szCs w:val="24"/>
        </w:rPr>
        <w:t>:</w:t>
      </w:r>
    </w:p>
    <w:p w14:paraId="42B2F557" w14:textId="4B2C3085"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(1)</w:t>
      </w:r>
      <w:r w:rsidR="00976C54" w:rsidRPr="005F6327">
        <w:rPr>
          <w:rFonts w:ascii="Times New Roman" w:eastAsia="Times New Roman" w:hAnsi="Times New Roman" w:cs="Times New Roman"/>
          <w:color w:val="000000"/>
          <w:sz w:val="24"/>
          <w:szCs w:val="24"/>
        </w:rPr>
        <w:t>Autoritățile creează mai multe structuri de co-management în domen</w:t>
      </w:r>
      <w:r w:rsidR="00976C54" w:rsidRPr="005F6327">
        <w:rPr>
          <w:rFonts w:ascii="Times New Roman" w:eastAsia="Times New Roman" w:hAnsi="Times New Roman" w:cs="Times New Roman"/>
          <w:sz w:val="24"/>
          <w:szCs w:val="24"/>
        </w:rPr>
        <w:t>iul de tineret</w:t>
      </w:r>
    </w:p>
    <w:p w14:paraId="667AE0B2" w14:textId="4B036EBA"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(2) </w:t>
      </w:r>
      <w:r w:rsidR="00976C54" w:rsidRPr="005F6327">
        <w:rPr>
          <w:rFonts w:ascii="Times New Roman" w:eastAsia="Times New Roman" w:hAnsi="Times New Roman" w:cs="Times New Roman"/>
          <w:sz w:val="24"/>
          <w:szCs w:val="24"/>
        </w:rPr>
        <w:t>Mai multe autorități publice locale implică consiliile locale ale tinerilor în procesele decizionale</w:t>
      </w:r>
    </w:p>
    <w:p w14:paraId="130B018E" w14:textId="02D464F1"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 xml:space="preserve">(3) </w:t>
      </w:r>
      <w:r w:rsidR="00976C54" w:rsidRPr="005F6327">
        <w:rPr>
          <w:rFonts w:ascii="Times New Roman" w:eastAsia="Times New Roman" w:hAnsi="Times New Roman" w:cs="Times New Roman"/>
          <w:color w:val="000000"/>
          <w:sz w:val="24"/>
          <w:szCs w:val="24"/>
        </w:rPr>
        <w:t xml:space="preserve">Mai multe platforme și oportunități de participare internațională a tinerilor devin </w:t>
      </w:r>
      <w:r w:rsidR="00976C54" w:rsidRPr="005F6327">
        <w:rPr>
          <w:rFonts w:ascii="Times New Roman" w:eastAsia="Times New Roman" w:hAnsi="Times New Roman" w:cs="Times New Roman"/>
          <w:sz w:val="24"/>
          <w:szCs w:val="24"/>
        </w:rPr>
        <w:t>operaționale</w:t>
      </w:r>
    </w:p>
    <w:p w14:paraId="561B17B0" w14:textId="2D06E6A2" w:rsidR="00485A97" w:rsidRPr="005F6327" w:rsidRDefault="00976C54">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b/>
          <w:color w:val="000000"/>
          <w:sz w:val="24"/>
          <w:szCs w:val="24"/>
        </w:rPr>
        <w:tab/>
      </w:r>
      <w:r w:rsidR="00B22BF7" w:rsidRPr="005F6327">
        <w:rPr>
          <w:rFonts w:ascii="Times New Roman" w:eastAsia="Times New Roman" w:hAnsi="Times New Roman" w:cs="Times New Roman"/>
          <w:color w:val="000000"/>
          <w:sz w:val="24"/>
          <w:szCs w:val="24"/>
        </w:rPr>
        <w:t xml:space="preserve">(4) </w:t>
      </w:r>
      <w:r w:rsidRPr="005F6327">
        <w:rPr>
          <w:rFonts w:ascii="Times New Roman" w:eastAsia="Times New Roman" w:hAnsi="Times New Roman" w:cs="Times New Roman"/>
          <w:sz w:val="24"/>
          <w:szCs w:val="24"/>
        </w:rPr>
        <w:t>Mai mulți tineri dețin competențele necesare pentru a organiza comunități</w:t>
      </w:r>
    </w:p>
    <w:p w14:paraId="68689D51" w14:textId="04FEA099"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sz w:val="24"/>
          <w:szCs w:val="24"/>
        </w:rPr>
        <w:t xml:space="preserve">(5) </w:t>
      </w:r>
      <w:r w:rsidR="00976C54" w:rsidRPr="005F6327">
        <w:rPr>
          <w:rFonts w:ascii="Times New Roman" w:eastAsia="Times New Roman" w:hAnsi="Times New Roman" w:cs="Times New Roman"/>
          <w:color w:val="000000"/>
          <w:sz w:val="24"/>
          <w:szCs w:val="24"/>
        </w:rPr>
        <w:t xml:space="preserve"> </w:t>
      </w:r>
      <w:r w:rsidR="00976C54" w:rsidRPr="005F6327">
        <w:rPr>
          <w:rFonts w:ascii="Times New Roman" w:eastAsia="Times New Roman" w:hAnsi="Times New Roman" w:cs="Times New Roman"/>
          <w:sz w:val="24"/>
          <w:szCs w:val="24"/>
        </w:rPr>
        <w:t>Mai multe grupuri comunitare ale tinerilor sunt create și realizează inițiative civice</w:t>
      </w:r>
    </w:p>
    <w:p w14:paraId="049C6FA9" w14:textId="6C82EAA5"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(6)</w:t>
      </w:r>
      <w:r w:rsidR="005F6327" w:rsidRPr="005F6327">
        <w:rPr>
          <w:rFonts w:ascii="Times New Roman" w:eastAsia="Times New Roman" w:hAnsi="Times New Roman" w:cs="Times New Roman"/>
          <w:color w:val="000000"/>
          <w:sz w:val="24"/>
          <w:szCs w:val="24"/>
        </w:rPr>
        <w:t xml:space="preserve"> </w:t>
      </w:r>
      <w:r w:rsidR="00976C54" w:rsidRPr="005F6327">
        <w:rPr>
          <w:rFonts w:ascii="Times New Roman" w:eastAsia="Times New Roman" w:hAnsi="Times New Roman" w:cs="Times New Roman"/>
          <w:color w:val="000000"/>
          <w:sz w:val="24"/>
          <w:szCs w:val="24"/>
        </w:rPr>
        <w:t xml:space="preserve">Se extinde </w:t>
      </w:r>
      <w:r w:rsidR="00976C54" w:rsidRPr="005F6327">
        <w:rPr>
          <w:rFonts w:ascii="Times New Roman" w:eastAsia="Times New Roman" w:hAnsi="Times New Roman" w:cs="Times New Roman"/>
          <w:sz w:val="24"/>
          <w:szCs w:val="24"/>
        </w:rPr>
        <w:t>numărul</w:t>
      </w:r>
      <w:r w:rsidR="00976C54" w:rsidRPr="005F6327">
        <w:rPr>
          <w:rFonts w:ascii="Times New Roman" w:eastAsia="Times New Roman" w:hAnsi="Times New Roman" w:cs="Times New Roman"/>
          <w:color w:val="000000"/>
          <w:sz w:val="24"/>
          <w:szCs w:val="24"/>
        </w:rPr>
        <w:t xml:space="preserve"> </w:t>
      </w:r>
      <w:r w:rsidR="00976C54" w:rsidRPr="005F6327">
        <w:rPr>
          <w:rFonts w:ascii="Times New Roman" w:eastAsia="Times New Roman" w:hAnsi="Times New Roman" w:cs="Times New Roman"/>
          <w:sz w:val="24"/>
          <w:szCs w:val="24"/>
        </w:rPr>
        <w:t>de organizații de tineret active</w:t>
      </w:r>
    </w:p>
    <w:p w14:paraId="0074529B" w14:textId="420CC470"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(7) </w:t>
      </w:r>
      <w:r w:rsidR="00976C54" w:rsidRPr="005F6327">
        <w:rPr>
          <w:rFonts w:ascii="Times New Roman" w:eastAsia="Times New Roman" w:hAnsi="Times New Roman" w:cs="Times New Roman"/>
          <w:color w:val="000000"/>
          <w:sz w:val="24"/>
          <w:szCs w:val="24"/>
        </w:rPr>
        <w:t>Cadrul normativ privind activitatea de voluntariat este îmbunătățit</w:t>
      </w:r>
    </w:p>
    <w:p w14:paraId="0991BE3B" w14:textId="5F578047"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(8) </w:t>
      </w:r>
      <w:r w:rsidR="00976C54" w:rsidRPr="005F6327">
        <w:rPr>
          <w:rFonts w:ascii="Times New Roman" w:eastAsia="Times New Roman" w:hAnsi="Times New Roman" w:cs="Times New Roman"/>
          <w:color w:val="000000"/>
          <w:sz w:val="24"/>
          <w:szCs w:val="24"/>
        </w:rPr>
        <w:t>Conceptul privind agregatorul de oportunități de voluntariat este creat și pilotat</w:t>
      </w:r>
    </w:p>
    <w:p w14:paraId="373BA092" w14:textId="12AD1D35" w:rsidR="0050158C" w:rsidRDefault="0050158C" w:rsidP="005015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Impact scontat: </w:t>
      </w:r>
      <w:r>
        <w:rPr>
          <w:rFonts w:ascii="Times New Roman" w:eastAsia="Times New Roman" w:hAnsi="Times New Roman" w:cs="Times New Roman"/>
          <w:color w:val="000000"/>
          <w:sz w:val="24"/>
          <w:szCs w:val="24"/>
        </w:rPr>
        <w:t>Tinerii dețin competențele și motivația necesară pentru a se implica activ și calitativ în viața comunității </w:t>
      </w:r>
    </w:p>
    <w:p w14:paraId="058BDCCB"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61A20826" w14:textId="77777777" w:rsidR="00485A97" w:rsidRDefault="00976C54">
      <w:pPr>
        <w:numPr>
          <w:ilvl w:val="0"/>
          <w:numId w:val="9"/>
        </w:num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Inovație socială inițiată și promovată de tiner</w:t>
      </w:r>
      <w:r>
        <w:rPr>
          <w:rFonts w:ascii="Times New Roman" w:eastAsia="Times New Roman" w:hAnsi="Times New Roman" w:cs="Times New Roman"/>
          <w:b/>
          <w:sz w:val="24"/>
          <w:szCs w:val="24"/>
        </w:rPr>
        <w:t>i</w:t>
      </w:r>
    </w:p>
    <w:p w14:paraId="201F80AF" w14:textId="68A4F106"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Punctul final al politicii de tineret promovată în cadrul ultimelor cicluri strategice de politici a trasat ca punct final al intervenției  domeniu</w:t>
      </w:r>
      <w:r w:rsidR="00DC0E7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competențel</w:t>
      </w:r>
      <w:r w:rsidR="00DC0E71">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dezvoltate de tineri, fără a oferi o platformă de aplicabilitate a acestora. </w:t>
      </w:r>
    </w:p>
    <w:p w14:paraId="73987C1C"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3BDE2367" w14:textId="00E329B6"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Direcția de orientarea strategică III constituie un element nou al politicilor de tineret adus în cadrul prezentei strategii, or </w:t>
      </w:r>
      <w:r w:rsidR="00DC0E71">
        <w:rPr>
          <w:rFonts w:ascii="Times New Roman" w:eastAsia="Times New Roman" w:hAnsi="Times New Roman" w:cs="Times New Roman"/>
          <w:sz w:val="24"/>
          <w:szCs w:val="24"/>
        </w:rPr>
        <w:t>ac</w:t>
      </w:r>
      <w:r w:rsidR="005F6327">
        <w:rPr>
          <w:rFonts w:ascii="Times New Roman" w:eastAsia="Times New Roman" w:hAnsi="Times New Roman" w:cs="Times New Roman"/>
          <w:sz w:val="24"/>
          <w:szCs w:val="24"/>
        </w:rPr>
        <w:t>es</w:t>
      </w:r>
      <w:r w:rsidR="00DC0E71">
        <w:rPr>
          <w:rFonts w:ascii="Times New Roman" w:eastAsia="Times New Roman" w:hAnsi="Times New Roman" w:cs="Times New Roman"/>
          <w:sz w:val="24"/>
          <w:szCs w:val="24"/>
        </w:rPr>
        <w:t xml:space="preserve">tea </w:t>
      </w:r>
      <w:r>
        <w:rPr>
          <w:rFonts w:ascii="Times New Roman" w:eastAsia="Times New Roman" w:hAnsi="Times New Roman" w:cs="Times New Roman"/>
          <w:sz w:val="24"/>
          <w:szCs w:val="24"/>
        </w:rPr>
        <w:t xml:space="preserve">sunt percepuți ca element al dezvoltării sociale și promotori ai schimbărilor. Inovația socială pune accent pe intervenții directe de suport din partea statului pentru a susține ideile tinerilor care sunt orientate spre dezvoltare și incluziune socială, eliminând barierele ce țin de domeniul de aplicabilitate. Tinerii competenți și împuterniciți au capacitatea de a dezvolta comunitatea și societatea prin idei îndrăznețe, inovatoare și uneori radicale centrate pe rezultate tangibile și cu impact social. Statul își asumă angajamentul de a acorda suport prin platforme dedicate de finanțare, înțelegând că inovația necesită libertate de creație. </w:t>
      </w:r>
    </w:p>
    <w:p w14:paraId="5400E92E"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41FE5D7B"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Inovația socială este o intervenție de orice nivel care vine să îmbunătățească un proces sau produs existent sau să creeze unul nou, pentru a consolida relațiile sociale. </w:t>
      </w:r>
    </w:p>
    <w:p w14:paraId="7BFCF4ED"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324D2AEC" w14:textId="77777777" w:rsidR="00485A97" w:rsidRDefault="00976C5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Obiectivul General III - </w:t>
      </w:r>
      <w:r>
        <w:rPr>
          <w:rFonts w:ascii="Times New Roman" w:eastAsia="Times New Roman" w:hAnsi="Times New Roman" w:cs="Times New Roman"/>
          <w:b/>
          <w:sz w:val="24"/>
          <w:szCs w:val="24"/>
        </w:rPr>
        <w:t>Valorificarea potențialului tinerilor de a realiza inițiative de inovație social și dezvoltare comunitară  prin instrumente de suport financiar și material</w:t>
      </w:r>
    </w:p>
    <w:p w14:paraId="55747F44" w14:textId="77777777" w:rsidR="00485A97" w:rsidRDefault="00485A97">
      <w:pPr>
        <w:shd w:val="clear" w:color="auto" w:fill="FFFFFF"/>
        <w:spacing w:after="0" w:line="240" w:lineRule="auto"/>
        <w:jc w:val="both"/>
        <w:rPr>
          <w:rFonts w:ascii="Times New Roman" w:eastAsia="Times New Roman" w:hAnsi="Times New Roman" w:cs="Times New Roman"/>
          <w:b/>
          <w:sz w:val="24"/>
          <w:szCs w:val="24"/>
        </w:rPr>
      </w:pPr>
    </w:p>
    <w:p w14:paraId="7143443E"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Direcții prioritare de acțiune:</w:t>
      </w:r>
    </w:p>
    <w:p w14:paraId="3C9DF7FC" w14:textId="77777777" w:rsidR="00485A97" w:rsidRDefault="00976C5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Dezvoltarea și realizarea programului de suport pentru autoritățile publice locale privind documentele de planificare strategică în domeniu;</w:t>
      </w:r>
    </w:p>
    <w:p w14:paraId="133F42F6" w14:textId="77777777" w:rsidR="00485A97" w:rsidRDefault="00976C5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Extinderea suportului financiar și material pentru organizațiile de tineret pentru realizarea inițiativelor de inovație socială;</w:t>
      </w:r>
    </w:p>
    <w:p w14:paraId="7CF8849F" w14:textId="77777777" w:rsidR="00485A97" w:rsidRDefault="00976C5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Asigurarea sinergiei între educația non-formală și formală prin susținerea structurilor de tineret în instituțiile de învățământ superior;</w:t>
      </w:r>
    </w:p>
    <w:p w14:paraId="6504BCDF" w14:textId="77777777" w:rsidR="00485A97" w:rsidRDefault="00976C5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Creșterea gradului de satisfacție a tinerilor din învățământul superior prin promovarea ofertei de activități non-formale în instituții;</w:t>
      </w:r>
    </w:p>
    <w:p w14:paraId="01CEB39F" w14:textId="77777777" w:rsidR="00485A97" w:rsidRDefault="00976C5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Asigurarea condițiilor propice de dezvoltare multilaterală a tinerilor în sistemul superior de învățământ prin crearea spațiilor prietenoase tinerilor.</w:t>
      </w:r>
    </w:p>
    <w:p w14:paraId="2E5FC13A" w14:textId="396D5DE5" w:rsidR="007B0B4F" w:rsidRDefault="007B0B4F" w:rsidP="007B0B4F">
      <w:pPr>
        <w:shd w:val="clear" w:color="auto" w:fill="FFFFFF"/>
        <w:spacing w:after="0" w:line="240" w:lineRule="auto"/>
        <w:ind w:left="720"/>
        <w:jc w:val="both"/>
        <w:rPr>
          <w:rFonts w:ascii="Times New Roman" w:eastAsia="Times New Roman" w:hAnsi="Times New Roman" w:cs="Times New Roman"/>
          <w:b/>
          <w:color w:val="000000"/>
          <w:sz w:val="24"/>
          <w:szCs w:val="24"/>
        </w:rPr>
      </w:pPr>
    </w:p>
    <w:p w14:paraId="763B274E" w14:textId="2A84884B" w:rsidR="00485A97" w:rsidRDefault="00B22BF7" w:rsidP="007B0B4F">
      <w:pPr>
        <w:shd w:val="clear" w:color="auto" w:fill="FFFFFF"/>
        <w:spacing w:after="0" w:line="240" w:lineRule="auto"/>
        <w:rPr>
          <w:rFonts w:ascii="Times New Roman" w:hAnsi="Times New Roman"/>
          <w:b/>
          <w:i/>
          <w:noProof/>
          <w:sz w:val="24"/>
          <w:szCs w:val="24"/>
        </w:rPr>
      </w:pPr>
      <w:r w:rsidRPr="00F60E87">
        <w:rPr>
          <w:rFonts w:ascii="Times New Roman" w:hAnsi="Times New Roman"/>
          <w:b/>
          <w:i/>
          <w:noProof/>
          <w:sz w:val="24"/>
          <w:szCs w:val="24"/>
        </w:rPr>
        <w:t>Rezultatele așteptate în urma realizării OBIECTIVULUI GENERAL</w:t>
      </w:r>
      <w:r w:rsidR="00DC0E71">
        <w:rPr>
          <w:rFonts w:ascii="Times New Roman" w:hAnsi="Times New Roman"/>
          <w:b/>
          <w:i/>
          <w:noProof/>
          <w:sz w:val="24"/>
          <w:szCs w:val="24"/>
        </w:rPr>
        <w:t xml:space="preserve"> 3</w:t>
      </w:r>
    </w:p>
    <w:p w14:paraId="07032748" w14:textId="77777777" w:rsidR="007B0B4F" w:rsidRDefault="007B0B4F">
      <w:pPr>
        <w:shd w:val="clear" w:color="auto" w:fill="FFFFFF"/>
        <w:spacing w:after="0" w:line="240" w:lineRule="auto"/>
        <w:jc w:val="both"/>
        <w:rPr>
          <w:rFonts w:ascii="Times New Roman" w:hAnsi="Times New Roman"/>
          <w:b/>
          <w:i/>
          <w:noProof/>
          <w:sz w:val="24"/>
          <w:szCs w:val="24"/>
        </w:rPr>
      </w:pPr>
    </w:p>
    <w:p w14:paraId="565FD4F2" w14:textId="77777777" w:rsidR="00B22BF7" w:rsidRDefault="00B22BF7">
      <w:pPr>
        <w:shd w:val="clear" w:color="auto" w:fill="FFFFFF"/>
        <w:spacing w:after="0" w:line="240" w:lineRule="auto"/>
        <w:jc w:val="both"/>
        <w:rPr>
          <w:rFonts w:ascii="Times New Roman" w:eastAsia="Times New Roman" w:hAnsi="Times New Roman" w:cs="Times New Roman"/>
          <w:b/>
          <w:sz w:val="24"/>
          <w:szCs w:val="24"/>
        </w:rPr>
      </w:pPr>
      <w:r>
        <w:rPr>
          <w:rFonts w:ascii="Times New Roman" w:hAnsi="Times New Roman"/>
          <w:b/>
          <w:i/>
          <w:noProof/>
          <w:sz w:val="24"/>
          <w:szCs w:val="24"/>
        </w:rPr>
        <w:t>Va fi valorificat potențialul</w:t>
      </w:r>
      <w:r w:rsidR="00364F5F">
        <w:rPr>
          <w:rFonts w:ascii="Times New Roman" w:hAnsi="Times New Roman"/>
          <w:b/>
          <w:i/>
          <w:noProof/>
          <w:sz w:val="24"/>
          <w:szCs w:val="24"/>
        </w:rPr>
        <w:t xml:space="preserve"> tinerilor de a reliaza inițiative de inovațoe socila și dezvoltare comunitară</w:t>
      </w:r>
      <w:r w:rsidR="00DC0E71">
        <w:rPr>
          <w:rFonts w:ascii="Times New Roman" w:hAnsi="Times New Roman"/>
          <w:b/>
          <w:i/>
          <w:noProof/>
          <w:sz w:val="24"/>
          <w:szCs w:val="24"/>
        </w:rPr>
        <w:t>:</w:t>
      </w:r>
    </w:p>
    <w:p w14:paraId="01F147B9" w14:textId="1B3BF84F"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(1) </w:t>
      </w:r>
      <w:r w:rsidR="00976C54" w:rsidRPr="005F6327">
        <w:rPr>
          <w:rFonts w:ascii="Times New Roman" w:eastAsia="Times New Roman" w:hAnsi="Times New Roman" w:cs="Times New Roman"/>
          <w:color w:val="000000"/>
          <w:sz w:val="24"/>
          <w:szCs w:val="24"/>
        </w:rPr>
        <w:t>Mai multe programe de suport pentru tineri sunt realizate de</w:t>
      </w:r>
      <w:r w:rsidR="00976C54" w:rsidRPr="005F6327">
        <w:rPr>
          <w:rFonts w:ascii="Times New Roman" w:eastAsia="Times New Roman" w:hAnsi="Times New Roman" w:cs="Times New Roman"/>
          <w:sz w:val="24"/>
          <w:szCs w:val="24"/>
        </w:rPr>
        <w:t xml:space="preserve"> </w:t>
      </w:r>
      <w:r w:rsidR="00976C54" w:rsidRPr="005F6327">
        <w:rPr>
          <w:rFonts w:ascii="Times New Roman" w:eastAsia="Times New Roman" w:hAnsi="Times New Roman" w:cs="Times New Roman"/>
          <w:color w:val="000000"/>
          <w:sz w:val="24"/>
          <w:szCs w:val="24"/>
        </w:rPr>
        <w:t>autoritățile publice locale</w:t>
      </w:r>
    </w:p>
    <w:p w14:paraId="20592D58" w14:textId="09BCABF5"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(2) </w:t>
      </w:r>
      <w:r w:rsidR="00976C54" w:rsidRPr="005F6327">
        <w:rPr>
          <w:rFonts w:ascii="Times New Roman" w:eastAsia="Times New Roman" w:hAnsi="Times New Roman" w:cs="Times New Roman"/>
          <w:color w:val="000000"/>
          <w:sz w:val="24"/>
          <w:szCs w:val="24"/>
        </w:rPr>
        <w:t>Autoritățile publice locale beneficiază de suport metodologic pentru implementarea programelor tinerilor</w:t>
      </w:r>
    </w:p>
    <w:p w14:paraId="1E997A5F" w14:textId="7D8F813E"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(3) </w:t>
      </w:r>
      <w:r w:rsidR="00976C54" w:rsidRPr="005F6327">
        <w:rPr>
          <w:rFonts w:ascii="Times New Roman" w:eastAsia="Times New Roman" w:hAnsi="Times New Roman" w:cs="Times New Roman"/>
          <w:sz w:val="24"/>
          <w:szCs w:val="24"/>
        </w:rPr>
        <w:t>Organizațiile de tineret dezvoltă și realizează inițiative de inovație socială în cadrul Youth Labs</w:t>
      </w:r>
    </w:p>
    <w:p w14:paraId="00F84656" w14:textId="51A2EAEB"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(4) </w:t>
      </w:r>
      <w:r w:rsidR="00976C54" w:rsidRPr="005F6327">
        <w:rPr>
          <w:rFonts w:ascii="Times New Roman" w:eastAsia="Times New Roman" w:hAnsi="Times New Roman" w:cs="Times New Roman"/>
          <w:color w:val="000000"/>
          <w:sz w:val="24"/>
          <w:szCs w:val="24"/>
        </w:rPr>
        <w:t>Mai multe organizații de tineret beneficiază de suport în realizarea inițiativelor de ino</w:t>
      </w:r>
      <w:r w:rsidR="00976C54" w:rsidRPr="005F6327">
        <w:rPr>
          <w:rFonts w:ascii="Times New Roman" w:eastAsia="Times New Roman" w:hAnsi="Times New Roman" w:cs="Times New Roman"/>
          <w:sz w:val="24"/>
          <w:szCs w:val="24"/>
        </w:rPr>
        <w:t>vație socială</w:t>
      </w:r>
    </w:p>
    <w:p w14:paraId="0A2F232E" w14:textId="08D35490"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(5) </w:t>
      </w:r>
      <w:r w:rsidR="00976C54" w:rsidRPr="005F6327">
        <w:rPr>
          <w:rFonts w:ascii="Times New Roman" w:eastAsia="Times New Roman" w:hAnsi="Times New Roman" w:cs="Times New Roman"/>
          <w:sz w:val="24"/>
          <w:szCs w:val="24"/>
        </w:rPr>
        <w:t>Granturi disponibile pentru organizațiile studențești</w:t>
      </w:r>
    </w:p>
    <w:p w14:paraId="4D6564C4" w14:textId="0913E897"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(6) </w:t>
      </w:r>
      <w:r w:rsidR="00976C54" w:rsidRPr="005F6327">
        <w:rPr>
          <w:rFonts w:ascii="Times New Roman" w:eastAsia="Times New Roman" w:hAnsi="Times New Roman" w:cs="Times New Roman"/>
          <w:color w:val="000000"/>
          <w:sz w:val="24"/>
          <w:szCs w:val="24"/>
        </w:rPr>
        <w:t xml:space="preserve">Mai multe </w:t>
      </w:r>
      <w:r w:rsidR="00976C54" w:rsidRPr="005F6327">
        <w:rPr>
          <w:rFonts w:ascii="Times New Roman" w:eastAsia="Times New Roman" w:hAnsi="Times New Roman" w:cs="Times New Roman"/>
          <w:sz w:val="24"/>
          <w:szCs w:val="24"/>
        </w:rPr>
        <w:t xml:space="preserve">programe și activități de tineret realizate de organizațiile de tineret în instituțiile educaționale </w:t>
      </w:r>
    </w:p>
    <w:p w14:paraId="45D790DD" w14:textId="7F7D1B5B" w:rsidR="00485A97" w:rsidRPr="005F6327" w:rsidRDefault="00B22BF7">
      <w:pPr>
        <w:shd w:val="clear" w:color="auto" w:fill="FFFFFF"/>
        <w:spacing w:after="0" w:line="240" w:lineRule="auto"/>
        <w:jc w:val="both"/>
        <w:rPr>
          <w:rFonts w:ascii="Times New Roman" w:eastAsia="Times New Roman" w:hAnsi="Times New Roman" w:cs="Times New Roman"/>
          <w:sz w:val="24"/>
          <w:szCs w:val="24"/>
        </w:rPr>
      </w:pPr>
      <w:r w:rsidRPr="005F6327">
        <w:rPr>
          <w:rFonts w:ascii="Times New Roman" w:eastAsia="Times New Roman" w:hAnsi="Times New Roman" w:cs="Times New Roman"/>
          <w:color w:val="000000"/>
          <w:sz w:val="24"/>
          <w:szCs w:val="24"/>
        </w:rPr>
        <w:t xml:space="preserve">(7) </w:t>
      </w:r>
      <w:r w:rsidR="00976C54" w:rsidRPr="005F6327">
        <w:rPr>
          <w:rFonts w:ascii="Times New Roman" w:eastAsia="Times New Roman" w:hAnsi="Times New Roman" w:cs="Times New Roman"/>
          <w:color w:val="000000"/>
          <w:sz w:val="24"/>
          <w:szCs w:val="24"/>
        </w:rPr>
        <w:t>Mai</w:t>
      </w:r>
      <w:r w:rsidR="00976C54" w:rsidRPr="005F6327">
        <w:rPr>
          <w:rFonts w:ascii="Times New Roman" w:eastAsia="Times New Roman" w:hAnsi="Times New Roman" w:cs="Times New Roman"/>
          <w:sz w:val="24"/>
          <w:szCs w:val="24"/>
        </w:rPr>
        <w:t xml:space="preserve"> multe spații multifuncționale dedicate tinerilor create în instituțiile de învățământ superior și colegii</w:t>
      </w:r>
    </w:p>
    <w:p w14:paraId="79DD4A12" w14:textId="77777777" w:rsidR="00B22BF7" w:rsidRDefault="00B22BF7" w:rsidP="00B22BF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Impact scontat: </w:t>
      </w:r>
      <w:r>
        <w:rPr>
          <w:rFonts w:ascii="Times New Roman" w:eastAsia="Times New Roman" w:hAnsi="Times New Roman" w:cs="Times New Roman"/>
          <w:color w:val="000000"/>
          <w:sz w:val="24"/>
          <w:szCs w:val="24"/>
        </w:rPr>
        <w:t>Sectorul de tineret devine un actor imperativ în procesul de dezvoltare socială a statului </w:t>
      </w:r>
    </w:p>
    <w:p w14:paraId="396F81EF" w14:textId="77777777" w:rsidR="00B22BF7" w:rsidRDefault="00B22BF7">
      <w:pPr>
        <w:shd w:val="clear" w:color="auto" w:fill="FFFFFF"/>
        <w:spacing w:after="0" w:line="240" w:lineRule="auto"/>
        <w:jc w:val="both"/>
        <w:rPr>
          <w:rFonts w:ascii="Times New Roman" w:eastAsia="Times New Roman" w:hAnsi="Times New Roman" w:cs="Times New Roman"/>
          <w:sz w:val="24"/>
          <w:szCs w:val="24"/>
        </w:rPr>
      </w:pPr>
    </w:p>
    <w:p w14:paraId="05D88F29"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F8C97F" w14:textId="77777777" w:rsidR="00485A97" w:rsidRDefault="00976C54">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INCLUZIUNEA ȘI EGALITATEA DE GEN</w:t>
      </w:r>
    </w:p>
    <w:p w14:paraId="6656F06A"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Integrarea dimensiunii egalității de gen și incluziunii se referă la procesul prin care impactul pozitiv și negativ asupra femeilor și bărbaților din diferite grupuri sociale este analizat în procesul de elaborare și implementare a documentului de politici. Aceasta presupune că, înainte de adoptarea oricăror decizii, este analizat efectul documentului de politici asupra femeilor și bărbaților, ținând cont de particularitățile sociale și economice ale acestora. Integrarea dimensiunii de gen și incluziunii în politicile publice implică evaluarea sistematică a nevoilor și priorităților femeilor și bărbaților, tinerilor și vârstnicilor, celor din mediul rural și urban ș.a. și </w:t>
      </w:r>
      <w:r>
        <w:rPr>
          <w:rFonts w:ascii="Times New Roman" w:eastAsia="Times New Roman" w:hAnsi="Times New Roman" w:cs="Times New Roman"/>
          <w:i/>
          <w:sz w:val="24"/>
          <w:szCs w:val="24"/>
        </w:rPr>
        <w:t>abordarea inegalităților</w:t>
      </w:r>
      <w:r>
        <w:rPr>
          <w:rFonts w:ascii="Times New Roman" w:eastAsia="Times New Roman" w:hAnsi="Times New Roman" w:cs="Times New Roman"/>
          <w:sz w:val="24"/>
          <w:szCs w:val="24"/>
        </w:rPr>
        <w:t xml:space="preserve"> existente între ei, astfel încât rezultatele planificate în documentul de politici să aibă un impact pozitiv asupra situației lor.</w:t>
      </w:r>
    </w:p>
    <w:p w14:paraId="30520633"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procesul de elaborare a Strategiei </w:t>
      </w:r>
      <w:r>
        <w:rPr>
          <w:rFonts w:ascii="Times New Roman" w:eastAsia="Times New Roman" w:hAnsi="Times New Roman" w:cs="Times New Roman"/>
          <w:i/>
          <w:sz w:val="24"/>
          <w:szCs w:val="24"/>
        </w:rPr>
        <w:t>Tineret 2030</w:t>
      </w:r>
      <w:r>
        <w:rPr>
          <w:rFonts w:ascii="Times New Roman" w:eastAsia="Times New Roman" w:hAnsi="Times New Roman" w:cs="Times New Roman"/>
          <w:sz w:val="24"/>
          <w:szCs w:val="24"/>
        </w:rPr>
        <w:t>, aspectele de incluziune s-au regăsesc la toate etapele-cheie ale planificării strategice, acestea presupunând:</w:t>
      </w:r>
    </w:p>
    <w:p w14:paraId="55C49763"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Identificarea și măsurarea inegalităților. </w:t>
      </w:r>
      <w:r>
        <w:rPr>
          <w:rFonts w:ascii="Times New Roman" w:eastAsia="Times New Roman" w:hAnsi="Times New Roman" w:cs="Times New Roman"/>
          <w:sz w:val="24"/>
          <w:szCs w:val="24"/>
        </w:rPr>
        <w:t>În cadrul acestei etape, sunt identificate inegalitățile între diferite grupuri de tineri prin analiza datelor statistice. Din perspectiva incluziunii sunt luate în calcul date care indică nivelul inegalităților între tineri în funcție de vârstă, gen, stare a sănătății, mediu de reședință ș.a. în ce privește accesul la resurse și oportunități, accesul la servicii, nivel de participare și reprezentare etc.</w:t>
      </w:r>
    </w:p>
    <w:p w14:paraId="71F08807" w14:textId="77777777" w:rsidR="00485A97" w:rsidRDefault="00976C5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Determinarea și analiza cauzelor structurale </w:t>
      </w:r>
      <w:r>
        <w:rPr>
          <w:rFonts w:ascii="Times New Roman" w:eastAsia="Times New Roman" w:hAnsi="Times New Roman" w:cs="Times New Roman"/>
          <w:sz w:val="24"/>
          <w:szCs w:val="24"/>
        </w:rPr>
        <w:t>se referă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identificarea cauzelor fundamentale ce au determinat apariția inegalităților atât între tineri ca grup, cât și între tineri și restul populației.</w:t>
      </w:r>
    </w:p>
    <w:p w14:paraId="339F774B" w14:textId="77777777" w:rsidR="00485A97" w:rsidRDefault="00976C5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Definirea intervențiilor și a cadrului de rezultate. </w:t>
      </w:r>
      <w:r>
        <w:rPr>
          <w:rFonts w:ascii="Times New Roman" w:eastAsia="Times New Roman" w:hAnsi="Times New Roman" w:cs="Times New Roman"/>
          <w:sz w:val="24"/>
          <w:szCs w:val="24"/>
        </w:rPr>
        <w:t>Identificarea cauzelor structurale a permis înțelegerea și setarea intervențiilor specifice ce ar contribui fie la diminuarea, fie la depășirea inegalităților identificate pe fiecare arie strategică (inegalități legate de participare, de acces la resurse, la oportunități etc.). Fiecare intervenție va fi evaluată din perspectiva impactului asupra diferitor categorii de tineri (tineri de diferite vârste, tineri din mediul rural și urban, femei și bărbați tineri, tineri cu dizabilități, tineri cu diferit statut socio-economic etc.) și cum aceasta a determinat schimbări pozitive pentru ei (a sporit accesul grupurilor dezavantajate la servicii, la resurse, la oportunități, a sporit gradul de reprezentare, de participare etc.).</w:t>
      </w:r>
    </w:p>
    <w:p w14:paraId="07B050BD" w14:textId="77777777" w:rsidR="00485A97" w:rsidRDefault="00976C5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Consolidarea cadrului de implementare.</w:t>
      </w:r>
      <w:r>
        <w:rPr>
          <w:rFonts w:ascii="Times New Roman" w:eastAsia="Times New Roman" w:hAnsi="Times New Roman" w:cs="Times New Roman"/>
          <w:sz w:val="24"/>
          <w:szCs w:val="24"/>
        </w:rPr>
        <w:t xml:space="preserve"> Această etapă presupune anticiparea lacunelor și riscurilor de implementare și asigurarea faptului că există un cadru de implementare eficient, astfel încât intențiile cu privire la reducerea inegalităților să fie implementate.</w:t>
      </w:r>
    </w:p>
    <w:p w14:paraId="121629FF" w14:textId="77777777" w:rsidR="00485A97" w:rsidRDefault="00976C5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mod practic, Strategia </w:t>
      </w:r>
      <w:r>
        <w:rPr>
          <w:rFonts w:ascii="Times New Roman" w:eastAsia="Times New Roman" w:hAnsi="Times New Roman" w:cs="Times New Roman"/>
          <w:i/>
          <w:sz w:val="24"/>
          <w:szCs w:val="24"/>
        </w:rPr>
        <w:t>Tineret 2030</w:t>
      </w:r>
      <w:r>
        <w:rPr>
          <w:rFonts w:ascii="Times New Roman" w:eastAsia="Times New Roman" w:hAnsi="Times New Roman" w:cs="Times New Roman"/>
          <w:sz w:val="24"/>
          <w:szCs w:val="24"/>
        </w:rPr>
        <w:t xml:space="preserve"> a fost elaborată ținând cont de nevoile specifice și prioritățile tinerelor și tinerilor. Deși Strategia se adresează unui grup-țintă concret – tinerii, acesta nu este un grup omogen. Vârsta, etnia, abilitățile (fizice și mentale), mediul de reședință (urban sau rural), precum și normele și valorile mediului în care trăiesc influențează activitățile și responsabilitățile tinerelor și tinerilor, statutul lor social, oportunitățile și constrângerile pe care le au în viața cotidiană. Prezenta Strategie abordează aceste particularități, venind cu intervenții adaptate la necesitățile și interesele tuturor categoriilor de tineri, în vederea asigurării șanselor egale tuturor în ce privește acces echitabil la resurse și oportunități, reprezentare echitabilă etc.</w:t>
      </w:r>
    </w:p>
    <w:p w14:paraId="7755CC1D" w14:textId="77777777" w:rsidR="00485A97" w:rsidRDefault="00976C54">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Inegalitățile existente între diferite grupuri de tineri indică direcția Strategiei și intervențiile necesare pentru a asigura șanse egale tuturor</w:t>
      </w:r>
      <w:r>
        <w:rPr>
          <w:rFonts w:ascii="Times New Roman" w:eastAsia="Times New Roman" w:hAnsi="Times New Roman" w:cs="Times New Roman"/>
          <w:sz w:val="24"/>
          <w:szCs w:val="24"/>
        </w:rPr>
        <w:t xml:space="preserve">. Intervențiile planificate în cadrul Strategiei sunt vin să integreze toți tinerii, în special cei din grupuri dezavantajate (tineri din mediu rural, tineri cu dizabilități, femei tinere, tineri romi etc.). Totodată, fiecare acțiune va fi evaluată prin prisma impactului și modului cum diferite grupuri de tineri, în special cei dezavantajați, au beneficiat de pe urma respectivei acțiuni. </w:t>
      </w:r>
    </w:p>
    <w:p w14:paraId="31846262" w14:textId="77777777" w:rsidR="00485A97" w:rsidRDefault="00976C5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vederea asigurării incluziunii și realizării principiului egalității, în procesul de implementare se vor realiza următoarele acțiuni: </w:t>
      </w:r>
    </w:p>
    <w:tbl>
      <w:tblPr>
        <w:tblStyle w:val="aff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7"/>
        <w:gridCol w:w="6492"/>
      </w:tblGrid>
      <w:tr w:rsidR="00485A97" w14:paraId="11423D66" w14:textId="77777777">
        <w:tc>
          <w:tcPr>
            <w:tcW w:w="3147" w:type="dxa"/>
            <w:shd w:val="clear" w:color="auto" w:fill="auto"/>
            <w:tcMar>
              <w:top w:w="100" w:type="dxa"/>
              <w:left w:w="100" w:type="dxa"/>
              <w:bottom w:w="100" w:type="dxa"/>
              <w:right w:w="100" w:type="dxa"/>
            </w:tcMar>
          </w:tcPr>
          <w:p w14:paraId="3EBF082B" w14:textId="77777777" w:rsidR="00485A97" w:rsidRDefault="00976C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 </w:t>
            </w:r>
            <w:r w:rsidR="00DC0E71">
              <w:rPr>
                <w:rFonts w:ascii="Times New Roman" w:eastAsia="Times New Roman" w:hAnsi="Times New Roman" w:cs="Times New Roman"/>
                <w:b/>
                <w:sz w:val="24"/>
                <w:szCs w:val="24"/>
              </w:rPr>
              <w:t>strategic</w:t>
            </w:r>
          </w:p>
        </w:tc>
        <w:tc>
          <w:tcPr>
            <w:tcW w:w="6492" w:type="dxa"/>
            <w:shd w:val="clear" w:color="auto" w:fill="auto"/>
            <w:tcMar>
              <w:top w:w="100" w:type="dxa"/>
              <w:left w:w="100" w:type="dxa"/>
              <w:bottom w:w="100" w:type="dxa"/>
              <w:right w:w="100" w:type="dxa"/>
            </w:tcMar>
          </w:tcPr>
          <w:p w14:paraId="41A926CC" w14:textId="77777777" w:rsidR="00485A97" w:rsidRDefault="00976C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Acțiuni menite să asigure incluziunea și egalitatea tinerilor </w:t>
            </w:r>
          </w:p>
        </w:tc>
      </w:tr>
      <w:tr w:rsidR="00485A97" w14:paraId="1591FDCE" w14:textId="77777777">
        <w:tc>
          <w:tcPr>
            <w:tcW w:w="3147" w:type="dxa"/>
            <w:shd w:val="clear" w:color="auto" w:fill="auto"/>
            <w:tcMar>
              <w:top w:w="100" w:type="dxa"/>
              <w:left w:w="100" w:type="dxa"/>
              <w:bottom w:w="100" w:type="dxa"/>
              <w:right w:w="100" w:type="dxa"/>
            </w:tcMar>
          </w:tcPr>
          <w:p w14:paraId="353A2B00"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1.Mai mulți tineri beneficiază de programe calitative de tineret. </w:t>
            </w:r>
          </w:p>
        </w:tc>
        <w:tc>
          <w:tcPr>
            <w:tcW w:w="6492" w:type="dxa"/>
            <w:shd w:val="clear" w:color="auto" w:fill="auto"/>
            <w:tcMar>
              <w:top w:w="100" w:type="dxa"/>
              <w:left w:w="100" w:type="dxa"/>
              <w:bottom w:w="100" w:type="dxa"/>
              <w:right w:w="100" w:type="dxa"/>
            </w:tcMar>
          </w:tcPr>
          <w:p w14:paraId="13907AA4"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Elaborarea tuturor materialelor metodologice legate de crearea și gestionarea programelor de tineret prin prisma incluziunii (modalități de identificare și analiză a nevoilor pentru tinerii din grupuri dezavantajate, asigurarea participării echitabile pentru fete și băieți, ajustarea rezonabilă a programelor de tineret pentru tinerii cu dizabilități).</w:t>
            </w:r>
          </w:p>
          <w:p w14:paraId="28BD9EAD" w14:textId="77777777" w:rsidR="00485A97" w:rsidRDefault="00485A97">
            <w:pPr>
              <w:widowControl w:val="0"/>
              <w:spacing w:after="0" w:line="240" w:lineRule="auto"/>
              <w:rPr>
                <w:rFonts w:ascii="Times New Roman" w:eastAsia="Times New Roman" w:hAnsi="Times New Roman" w:cs="Times New Roman"/>
                <w:sz w:val="24"/>
                <w:szCs w:val="24"/>
              </w:rPr>
            </w:pPr>
          </w:p>
          <w:p w14:paraId="0D7D1610"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Programele de finanțare pentru programe vor presupune cerințe clare legate de asigurarea incluziunii și egalității. </w:t>
            </w:r>
          </w:p>
          <w:p w14:paraId="12C414AB" w14:textId="77777777" w:rsidR="00485A97" w:rsidRDefault="00485A97">
            <w:pPr>
              <w:widowControl w:val="0"/>
              <w:spacing w:after="0" w:line="240" w:lineRule="auto"/>
              <w:rPr>
                <w:rFonts w:ascii="Times New Roman" w:eastAsia="Times New Roman" w:hAnsi="Times New Roman" w:cs="Times New Roman"/>
                <w:sz w:val="24"/>
                <w:szCs w:val="24"/>
              </w:rPr>
            </w:pPr>
          </w:p>
          <w:p w14:paraId="0759A816"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Efortul de dezvoltare a capacităților pentru Centrele de tineret și pentru lucrătorii de tineret va presupune și dezvoltarea cunoștințelor legate de asigurarea incluziunii și egalității. </w:t>
            </w:r>
          </w:p>
        </w:tc>
      </w:tr>
      <w:tr w:rsidR="00485A97" w14:paraId="2314281D" w14:textId="77777777">
        <w:tc>
          <w:tcPr>
            <w:tcW w:w="3147" w:type="dxa"/>
            <w:shd w:val="clear" w:color="auto" w:fill="auto"/>
            <w:tcMar>
              <w:top w:w="100" w:type="dxa"/>
              <w:left w:w="100" w:type="dxa"/>
              <w:bottom w:w="100" w:type="dxa"/>
              <w:right w:w="100" w:type="dxa"/>
            </w:tcMar>
          </w:tcPr>
          <w:p w14:paraId="1CC288F3"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Mai mulți tineri se implică civic și în procesele decizionale. </w:t>
            </w:r>
          </w:p>
        </w:tc>
        <w:tc>
          <w:tcPr>
            <w:tcW w:w="6492" w:type="dxa"/>
            <w:shd w:val="clear" w:color="auto" w:fill="auto"/>
            <w:tcMar>
              <w:top w:w="100" w:type="dxa"/>
              <w:left w:w="100" w:type="dxa"/>
              <w:bottom w:w="100" w:type="dxa"/>
              <w:right w:w="100" w:type="dxa"/>
            </w:tcMar>
          </w:tcPr>
          <w:p w14:paraId="6E0CA632"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În efortul de constituire și consolidare a platformelor de participare și reprezentare a tinerilor se va ține cont de obiectivul legat de reprezentarea și participarea echitabilă a fetelor, băieților a tinerilor din grupurile dezavantajate.</w:t>
            </w:r>
          </w:p>
          <w:p w14:paraId="7650B6C9" w14:textId="77777777" w:rsidR="00485A97" w:rsidRDefault="00485A97">
            <w:pPr>
              <w:widowControl w:val="0"/>
              <w:spacing w:after="0" w:line="240" w:lineRule="auto"/>
              <w:rPr>
                <w:rFonts w:ascii="Times New Roman" w:eastAsia="Times New Roman" w:hAnsi="Times New Roman" w:cs="Times New Roman"/>
                <w:sz w:val="24"/>
                <w:szCs w:val="24"/>
              </w:rPr>
            </w:pPr>
          </w:p>
          <w:p w14:paraId="11812925"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Dezideratul de reprezentare și participare echitabilă va fi consolidat în toate documentele cadru care reglementează/ghidează activitatea platformelor de participare și reprezentare. </w:t>
            </w:r>
          </w:p>
        </w:tc>
      </w:tr>
      <w:tr w:rsidR="00485A97" w14:paraId="1904128C" w14:textId="77777777">
        <w:tc>
          <w:tcPr>
            <w:tcW w:w="3147" w:type="dxa"/>
            <w:shd w:val="clear" w:color="auto" w:fill="auto"/>
            <w:tcMar>
              <w:top w:w="100" w:type="dxa"/>
              <w:left w:w="100" w:type="dxa"/>
              <w:bottom w:w="100" w:type="dxa"/>
              <w:right w:w="100" w:type="dxa"/>
            </w:tcMar>
          </w:tcPr>
          <w:p w14:paraId="5753B8CD"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3.Mai mulți tineri realizează și se implică în proiecte și inițiative de inovație socială. </w:t>
            </w:r>
          </w:p>
        </w:tc>
        <w:tc>
          <w:tcPr>
            <w:tcW w:w="6492" w:type="dxa"/>
            <w:shd w:val="clear" w:color="auto" w:fill="auto"/>
            <w:tcMar>
              <w:top w:w="100" w:type="dxa"/>
              <w:left w:w="100" w:type="dxa"/>
              <w:bottom w:w="100" w:type="dxa"/>
              <w:right w:w="100" w:type="dxa"/>
            </w:tcMar>
          </w:tcPr>
          <w:p w14:paraId="41E56943" w14:textId="77777777" w:rsidR="00485A97" w:rsidRDefault="00976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Suportul oferit organizațiilor de tineret, structurilor de tineri, instituțiilor de învățământ, va fi legat de cerințe legate de asigurarea incluziunii și a egalității. </w:t>
            </w:r>
          </w:p>
        </w:tc>
      </w:tr>
    </w:tbl>
    <w:p w14:paraId="4C484B37" w14:textId="77777777" w:rsidR="00485A97" w:rsidRDefault="00485A97">
      <w:pPr>
        <w:spacing w:after="0" w:line="240" w:lineRule="auto"/>
        <w:jc w:val="both"/>
        <w:rPr>
          <w:rFonts w:ascii="Times New Roman" w:eastAsia="Times New Roman" w:hAnsi="Times New Roman" w:cs="Times New Roman"/>
          <w:sz w:val="24"/>
          <w:szCs w:val="24"/>
        </w:rPr>
      </w:pPr>
    </w:p>
    <w:p w14:paraId="0C7A6C54"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4F9A82D8" w14:textId="77777777" w:rsidR="00485A97" w:rsidRDefault="00976C5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w:t>
      </w:r>
    </w:p>
    <w:p w14:paraId="759A7860"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08E7E5"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În urma implementării Strategiei </w:t>
      </w:r>
      <w:r>
        <w:rPr>
          <w:rFonts w:ascii="Times New Roman" w:eastAsia="Times New Roman" w:hAnsi="Times New Roman" w:cs="Times New Roman"/>
          <w:i/>
          <w:color w:val="000000"/>
          <w:sz w:val="24"/>
          <w:szCs w:val="24"/>
        </w:rPr>
        <w:t>Tineret 2030</w:t>
      </w:r>
      <w:r>
        <w:rPr>
          <w:rFonts w:ascii="Times New Roman" w:eastAsia="Times New Roman" w:hAnsi="Times New Roman" w:cs="Times New Roman"/>
          <w:sz w:val="24"/>
          <w:szCs w:val="24"/>
        </w:rPr>
        <w:t xml:space="preserve"> se urmărește că </w:t>
      </w:r>
      <w:r>
        <w:rPr>
          <w:rFonts w:ascii="Times New Roman" w:eastAsia="Times New Roman" w:hAnsi="Times New Roman" w:cs="Times New Roman"/>
          <w:color w:val="000000"/>
          <w:sz w:val="24"/>
          <w:szCs w:val="24"/>
        </w:rPr>
        <w:t>tinerii vor deveni un actor social imperativ care contribuie activ și calitativ la dezvoltarea socială și economică a Republicii Moldova.</w:t>
      </w:r>
    </w:p>
    <w:p w14:paraId="6AB5211E" w14:textId="77777777" w:rsidR="00485A97" w:rsidRDefault="00976C54">
      <w:pPr>
        <w:spacing w:before="240"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i/>
          <w:color w:val="000000"/>
          <w:sz w:val="24"/>
          <w:szCs w:val="24"/>
          <w:highlight w:val="white"/>
        </w:rPr>
        <w:t xml:space="preserve">Impact social. </w:t>
      </w:r>
      <w:r>
        <w:rPr>
          <w:rFonts w:ascii="Times New Roman" w:eastAsia="Times New Roman" w:hAnsi="Times New Roman" w:cs="Times New Roman"/>
          <w:color w:val="000000"/>
          <w:sz w:val="24"/>
          <w:szCs w:val="24"/>
          <w:highlight w:val="white"/>
        </w:rPr>
        <w:t>Tinerii din Republica Moldova devin actori sociali activi care se implică în dezvoltarea comunitară ș</w:t>
      </w:r>
      <w:r>
        <w:rPr>
          <w:rFonts w:ascii="Times New Roman" w:eastAsia="Times New Roman" w:hAnsi="Times New Roman" w:cs="Times New Roman"/>
          <w:sz w:val="24"/>
          <w:szCs w:val="24"/>
          <w:highlight w:val="white"/>
        </w:rPr>
        <w:t>i participă în procesele de consolidare a democrației participative. Tinerii dețin competențele, instrumentele necesare și finanțare suficientă pentru a realiza inițiativele de inovație socială și a influența direcțiile de dezvoltare a societății naționale. Tinerii și sectorul de tineret devine rezilient la șocuri și este implicat în dezvoltarea activităților orientate spre consolidarea și promovarea păcii. Tinerii defavorizați, dispun de platforme și programe adaptate la necesitățile individuale, astfel încât să se asigure incluziunea socială a acestora în procesele ce cad sub incidența strategiei Tineret 2030.</w:t>
      </w:r>
    </w:p>
    <w:p w14:paraId="41C46F70"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highlight w:val="white"/>
        </w:rPr>
        <w:t xml:space="preserve">Impact administrativ. </w:t>
      </w:r>
      <w:r>
        <w:rPr>
          <w:rFonts w:ascii="Times New Roman" w:eastAsia="Times New Roman" w:hAnsi="Times New Roman" w:cs="Times New Roman"/>
          <w:color w:val="000000"/>
          <w:sz w:val="24"/>
          <w:szCs w:val="24"/>
          <w:highlight w:val="white"/>
        </w:rPr>
        <w:t xml:space="preserve">Strategia </w:t>
      </w:r>
      <w:r>
        <w:rPr>
          <w:rFonts w:ascii="Times New Roman" w:eastAsia="Times New Roman" w:hAnsi="Times New Roman" w:cs="Times New Roman"/>
          <w:i/>
          <w:color w:val="000000"/>
          <w:sz w:val="24"/>
          <w:szCs w:val="24"/>
          <w:highlight w:val="white"/>
        </w:rPr>
        <w:t xml:space="preserve">Tineret 2030 </w:t>
      </w:r>
      <w:r>
        <w:rPr>
          <w:rFonts w:ascii="Times New Roman" w:eastAsia="Times New Roman" w:hAnsi="Times New Roman" w:cs="Times New Roman"/>
          <w:color w:val="000000"/>
          <w:sz w:val="24"/>
          <w:szCs w:val="24"/>
          <w:highlight w:val="white"/>
        </w:rPr>
        <w:t xml:space="preserve">este direcționată pe consolidarea capacităților autorităților </w:t>
      </w:r>
      <w:r>
        <w:rPr>
          <w:rFonts w:ascii="Times New Roman" w:eastAsia="Times New Roman" w:hAnsi="Times New Roman" w:cs="Times New Roman"/>
          <w:sz w:val="24"/>
          <w:szCs w:val="24"/>
          <w:highlight w:val="white"/>
        </w:rPr>
        <w:t xml:space="preserve">ce au  </w:t>
      </w:r>
      <w:r>
        <w:rPr>
          <w:rFonts w:ascii="Times New Roman" w:eastAsia="Times New Roman" w:hAnsi="Times New Roman" w:cs="Times New Roman"/>
          <w:color w:val="000000"/>
          <w:sz w:val="24"/>
          <w:szCs w:val="24"/>
          <w:highlight w:val="white"/>
        </w:rPr>
        <w:t>competen</w:t>
      </w:r>
      <w:r>
        <w:rPr>
          <w:rFonts w:ascii="Times New Roman" w:eastAsia="Times New Roman" w:hAnsi="Times New Roman" w:cs="Times New Roman"/>
          <w:sz w:val="24"/>
          <w:szCs w:val="24"/>
          <w:highlight w:val="white"/>
        </w:rPr>
        <w:t>țe</w:t>
      </w:r>
      <w:r>
        <w:rPr>
          <w:rFonts w:ascii="Times New Roman" w:eastAsia="Times New Roman" w:hAnsi="Times New Roman" w:cs="Times New Roman"/>
          <w:color w:val="000000"/>
          <w:sz w:val="24"/>
          <w:szCs w:val="24"/>
          <w:highlight w:val="white"/>
        </w:rPr>
        <w:t xml:space="preserve"> în domeniul tineret și fortificarea cunoștințelor acestora în lucru cu tinerii. Instituțiile publice de nivel central sau local vor poseda capacități îmbunătățite, privind dezvoltarea politicilor publice cu impact asupra bunăstării tinerilor reieșind din necesitățile reale ale tinerilor și din informații statistice relevante. Tinerii, împuterniciți să participe în procesele democratice, vor deveni actori imperativi în procesele publice implicându-se în procesele de luare a deciziilor și de rezolvare a provocărilor comunitare.</w:t>
      </w:r>
      <w:r>
        <w:rPr>
          <w:rFonts w:ascii="Times New Roman" w:eastAsia="Times New Roman" w:hAnsi="Times New Roman" w:cs="Times New Roman"/>
          <w:sz w:val="24"/>
          <w:szCs w:val="24"/>
          <w:highlight w:val="white"/>
        </w:rPr>
        <w:t xml:space="preserve"> Ecosistemul creat are capacitatea de a răspunde la modificările sociale și de a se orienta spre segmente noi, dezvoltând și realizând programe din domenii conexe, fără a afecta sustenabilitatea sa.</w:t>
      </w:r>
    </w:p>
    <w:p w14:paraId="27F3F8FA" w14:textId="77777777" w:rsidR="00485A97" w:rsidRDefault="00485A97">
      <w:pPr>
        <w:shd w:val="clear" w:color="auto" w:fill="FFFFFF"/>
        <w:spacing w:after="0" w:line="240" w:lineRule="auto"/>
        <w:jc w:val="both"/>
        <w:rPr>
          <w:rFonts w:ascii="Times New Roman" w:eastAsia="Times New Roman" w:hAnsi="Times New Roman" w:cs="Times New Roman"/>
          <w:i/>
          <w:color w:val="000000"/>
          <w:sz w:val="24"/>
          <w:szCs w:val="24"/>
          <w:highlight w:val="white"/>
        </w:rPr>
      </w:pPr>
    </w:p>
    <w:p w14:paraId="55A347C4" w14:textId="77777777" w:rsidR="00485A97" w:rsidRDefault="00976C54">
      <w:pPr>
        <w:shd w:val="clear" w:color="auto" w:fill="FFFFFF"/>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color w:val="000000"/>
          <w:sz w:val="24"/>
          <w:szCs w:val="24"/>
          <w:highlight w:val="white"/>
        </w:rPr>
        <w:t xml:space="preserve">Impact economic. </w:t>
      </w:r>
      <w:r>
        <w:rPr>
          <w:rFonts w:ascii="Times New Roman" w:eastAsia="Times New Roman" w:hAnsi="Times New Roman" w:cs="Times New Roman"/>
          <w:sz w:val="24"/>
          <w:szCs w:val="24"/>
          <w:highlight w:val="white"/>
        </w:rPr>
        <w:t xml:space="preserve">Economia națională va beneficia de o forță de muncă tânără, bine pregătită, care deține competențele și abilitățile necesare în era digitală. Strategia Tineret 2030 pune accent pe consolidarea gândirii antreprenoriale în rândul tinerilor, canalizând abilitatea tinerilor de a inova în domenii de dezvoltare a economiei naționale. </w:t>
      </w:r>
    </w:p>
    <w:p w14:paraId="740505D6" w14:textId="77777777" w:rsidR="00485A97" w:rsidRDefault="00485A97">
      <w:pPr>
        <w:shd w:val="clear" w:color="auto" w:fill="FFFFFF"/>
        <w:spacing w:after="0" w:line="240" w:lineRule="auto"/>
        <w:jc w:val="both"/>
        <w:rPr>
          <w:rFonts w:ascii="Times New Roman" w:eastAsia="Times New Roman" w:hAnsi="Times New Roman" w:cs="Times New Roman"/>
          <w:sz w:val="24"/>
          <w:szCs w:val="24"/>
          <w:highlight w:val="white"/>
        </w:rPr>
      </w:pPr>
    </w:p>
    <w:p w14:paraId="7FBDE890" w14:textId="77777777" w:rsidR="00485A97" w:rsidRDefault="00976C54">
      <w:pPr>
        <w:shd w:val="clear" w:color="auto" w:fill="FFFFFF"/>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Impact financiar. </w:t>
      </w:r>
      <w:r>
        <w:rPr>
          <w:rFonts w:ascii="Times New Roman" w:eastAsia="Times New Roman" w:hAnsi="Times New Roman" w:cs="Times New Roman"/>
          <w:sz w:val="24"/>
          <w:szCs w:val="24"/>
          <w:highlight w:val="white"/>
        </w:rPr>
        <w:t xml:space="preserve">Impactul asupra bugetului național este estimat pentru primul program de implementare la aproximativ 170 milioane lei, însă beneficiile aduse economiei naționale de o resursă umană pregătită și abilitată să inoveze urmează a fi măsurabile în timp în economia națională. Impactul financiar poate a fi pe de o parte diminuat prin atragerea resurselor financiare din partea </w:t>
      </w:r>
      <w:r>
        <w:rPr>
          <w:rFonts w:ascii="Times New Roman" w:eastAsia="Times New Roman" w:hAnsi="Times New Roman" w:cs="Times New Roman"/>
          <w:sz w:val="24"/>
          <w:szCs w:val="24"/>
          <w:highlight w:val="white"/>
        </w:rPr>
        <w:lastRenderedPageBreak/>
        <w:t xml:space="preserve">partenerilor externi, pe de altă parte poate contribui la creșterea nivelului setat de ambiție prin creșterea țintelor setate. </w:t>
      </w:r>
    </w:p>
    <w:p w14:paraId="338FC60A" w14:textId="77777777" w:rsidR="00485A97" w:rsidRDefault="00485A97">
      <w:pPr>
        <w:shd w:val="clear" w:color="auto" w:fill="FFFFFF"/>
        <w:spacing w:after="0" w:line="240" w:lineRule="auto"/>
        <w:rPr>
          <w:rFonts w:ascii="Times New Roman" w:eastAsia="Times New Roman" w:hAnsi="Times New Roman" w:cs="Times New Roman"/>
          <w:b/>
          <w:sz w:val="24"/>
          <w:szCs w:val="24"/>
        </w:rPr>
      </w:pPr>
    </w:p>
    <w:p w14:paraId="2DAD2C80" w14:textId="77777777" w:rsidR="00485A97" w:rsidRDefault="00976C54">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MONITORIZARE ȘI EVALUARE</w:t>
      </w:r>
    </w:p>
    <w:p w14:paraId="6790ED2F"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Potrivit bunelor practici în management, monitorizarea este un proces continuu, care trebuie realizat atât pe termen scurt, cât și lung, urmând să ofere informații esențiale pentru eficiența implementării Strategiei Tineret 2030. </w:t>
      </w:r>
      <w:bookmarkStart w:id="1" w:name="_GoBack"/>
      <w:bookmarkEnd w:id="1"/>
    </w:p>
    <w:p w14:paraId="3DE8173D"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0BD05FF9"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Procesul de monitorizare a Strategiei este realizat în baza cadrului de rezultate prezentat. Programele de implementare urmează a fi monitorizate anual în baza rezultatelor scontate și elaborate rapoarte anuale sau periodice privind gradul de realizare.</w:t>
      </w:r>
    </w:p>
    <w:p w14:paraId="51F868B6" w14:textId="77777777" w:rsidR="005F6327" w:rsidRDefault="005F6327">
      <w:pPr>
        <w:shd w:val="clear" w:color="auto" w:fill="FFFFFF"/>
        <w:spacing w:after="0" w:line="240" w:lineRule="auto"/>
        <w:jc w:val="both"/>
        <w:rPr>
          <w:rFonts w:ascii="Times New Roman" w:eastAsia="Times New Roman" w:hAnsi="Times New Roman" w:cs="Times New Roman"/>
          <w:sz w:val="24"/>
          <w:szCs w:val="24"/>
        </w:rPr>
      </w:pPr>
    </w:p>
    <w:p w14:paraId="53FE7AA5" w14:textId="210F9EA1" w:rsidR="00485A97" w:rsidRDefault="002227B5">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INDICATORI DE MONITORIZARE ȘI EVALUARE</w:t>
      </w:r>
    </w:p>
    <w:tbl>
      <w:tblPr>
        <w:tblStyle w:val="aff2"/>
        <w:tblW w:w="9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1680"/>
        <w:gridCol w:w="1275"/>
        <w:gridCol w:w="1185"/>
        <w:gridCol w:w="1695"/>
        <w:gridCol w:w="720"/>
        <w:gridCol w:w="840"/>
      </w:tblGrid>
      <w:tr w:rsidR="00485A97" w:rsidRPr="00C7694A" w14:paraId="71EA389F" w14:textId="77777777">
        <w:trPr>
          <w:gridAfter w:val="2"/>
          <w:wAfter w:w="1560" w:type="dxa"/>
          <w:trHeight w:val="458"/>
        </w:trPr>
        <w:tc>
          <w:tcPr>
            <w:tcW w:w="2475" w:type="dxa"/>
            <w:vMerge w:val="restart"/>
          </w:tcPr>
          <w:p w14:paraId="64B3E5B4"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Rezultat</w:t>
            </w:r>
          </w:p>
        </w:tc>
        <w:tc>
          <w:tcPr>
            <w:tcW w:w="1680" w:type="dxa"/>
            <w:vMerge w:val="restart"/>
          </w:tcPr>
          <w:p w14:paraId="64801B75"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Indicator</w:t>
            </w:r>
          </w:p>
          <w:p w14:paraId="21AA3504" w14:textId="77777777" w:rsidR="00485A97" w:rsidRPr="00C7694A" w:rsidRDefault="00485A97">
            <w:pPr>
              <w:jc w:val="center"/>
              <w:rPr>
                <w:rFonts w:ascii="Times New Roman" w:eastAsia="Times New Roman" w:hAnsi="Times New Roman" w:cs="Times New Roman"/>
                <w:b/>
                <w:color w:val="1F4E79"/>
                <w:sz w:val="20"/>
                <w:szCs w:val="20"/>
              </w:rPr>
            </w:pPr>
          </w:p>
        </w:tc>
        <w:tc>
          <w:tcPr>
            <w:tcW w:w="1275" w:type="dxa"/>
            <w:vMerge w:val="restart"/>
          </w:tcPr>
          <w:p w14:paraId="19C0A84E"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Nivel de desegregare a datelor</w:t>
            </w:r>
          </w:p>
        </w:tc>
        <w:tc>
          <w:tcPr>
            <w:tcW w:w="1185" w:type="dxa"/>
            <w:vMerge w:val="restart"/>
          </w:tcPr>
          <w:p w14:paraId="0F05879D"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Referință</w:t>
            </w:r>
          </w:p>
        </w:tc>
        <w:tc>
          <w:tcPr>
            <w:tcW w:w="1695" w:type="dxa"/>
            <w:vMerge w:val="restart"/>
          </w:tcPr>
          <w:p w14:paraId="62304C41"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Sursa și metoda de colectare</w:t>
            </w:r>
          </w:p>
        </w:tc>
      </w:tr>
      <w:tr w:rsidR="00485A97" w14:paraId="49A71086" w14:textId="77777777">
        <w:tc>
          <w:tcPr>
            <w:tcW w:w="2475" w:type="dxa"/>
            <w:vMerge/>
          </w:tcPr>
          <w:p w14:paraId="418B11E4"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680" w:type="dxa"/>
            <w:vMerge/>
          </w:tcPr>
          <w:p w14:paraId="0F3A217C"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275" w:type="dxa"/>
            <w:vMerge/>
          </w:tcPr>
          <w:p w14:paraId="44235ABA"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185" w:type="dxa"/>
            <w:vMerge/>
          </w:tcPr>
          <w:p w14:paraId="1B5C72C1"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695" w:type="dxa"/>
            <w:vMerge/>
          </w:tcPr>
          <w:p w14:paraId="44AB2024"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560" w:type="dxa"/>
            <w:gridSpan w:val="2"/>
          </w:tcPr>
          <w:p w14:paraId="73FCF099"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Ținte</w:t>
            </w:r>
          </w:p>
        </w:tc>
      </w:tr>
      <w:tr w:rsidR="00485A97" w14:paraId="37AC66D6" w14:textId="77777777">
        <w:trPr>
          <w:trHeight w:val="240"/>
        </w:trPr>
        <w:tc>
          <w:tcPr>
            <w:tcW w:w="2475" w:type="dxa"/>
            <w:vMerge/>
          </w:tcPr>
          <w:p w14:paraId="2931B0BC"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680" w:type="dxa"/>
            <w:vMerge/>
          </w:tcPr>
          <w:p w14:paraId="7255DDC8"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275" w:type="dxa"/>
            <w:vMerge/>
          </w:tcPr>
          <w:p w14:paraId="632A386A"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185" w:type="dxa"/>
            <w:vMerge/>
          </w:tcPr>
          <w:p w14:paraId="65C336F6"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1695" w:type="dxa"/>
            <w:vMerge/>
          </w:tcPr>
          <w:p w14:paraId="0D207042" w14:textId="77777777" w:rsidR="00485A97" w:rsidRPr="00C7694A" w:rsidRDefault="00485A97">
            <w:pPr>
              <w:widowControl w:val="0"/>
              <w:pBdr>
                <w:top w:val="nil"/>
                <w:left w:val="nil"/>
                <w:bottom w:val="nil"/>
                <w:right w:val="nil"/>
                <w:between w:val="nil"/>
              </w:pBdr>
              <w:spacing w:after="0" w:line="276" w:lineRule="auto"/>
              <w:rPr>
                <w:rFonts w:ascii="Times New Roman" w:eastAsia="Times New Roman" w:hAnsi="Times New Roman" w:cs="Times New Roman"/>
                <w:b/>
                <w:color w:val="1F4E79"/>
                <w:sz w:val="20"/>
                <w:szCs w:val="20"/>
              </w:rPr>
            </w:pPr>
          </w:p>
        </w:tc>
        <w:tc>
          <w:tcPr>
            <w:tcW w:w="720" w:type="dxa"/>
          </w:tcPr>
          <w:p w14:paraId="307F553E"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2026</w:t>
            </w:r>
          </w:p>
        </w:tc>
        <w:tc>
          <w:tcPr>
            <w:tcW w:w="840" w:type="dxa"/>
          </w:tcPr>
          <w:p w14:paraId="1FF5E705" w14:textId="77777777" w:rsidR="00485A97" w:rsidRPr="00C7694A" w:rsidRDefault="00976C54">
            <w:pPr>
              <w:jc w:val="center"/>
              <w:rPr>
                <w:rFonts w:ascii="Times New Roman" w:eastAsia="Times New Roman" w:hAnsi="Times New Roman" w:cs="Times New Roman"/>
                <w:b/>
                <w:color w:val="1F4E79"/>
                <w:sz w:val="20"/>
                <w:szCs w:val="20"/>
              </w:rPr>
            </w:pPr>
            <w:r w:rsidRPr="00C7694A">
              <w:rPr>
                <w:rFonts w:ascii="Times New Roman" w:eastAsia="Times New Roman" w:hAnsi="Times New Roman" w:cs="Times New Roman"/>
                <w:b/>
                <w:color w:val="1F4E79"/>
                <w:sz w:val="20"/>
                <w:szCs w:val="20"/>
              </w:rPr>
              <w:t>2030</w:t>
            </w:r>
          </w:p>
        </w:tc>
      </w:tr>
      <w:tr w:rsidR="00485A97" w14:paraId="09F5AB42" w14:textId="77777777">
        <w:trPr>
          <w:trHeight w:val="1976"/>
        </w:trPr>
        <w:tc>
          <w:tcPr>
            <w:tcW w:w="2475" w:type="dxa"/>
          </w:tcPr>
          <w:p w14:paraId="6BF1E62C" w14:textId="77777777" w:rsidR="00485A97" w:rsidRPr="00AE28AC" w:rsidRDefault="00976C54">
            <w:pPr>
              <w:rPr>
                <w:rFonts w:ascii="Times New Roman" w:eastAsia="Times New Roman" w:hAnsi="Times New Roman" w:cs="Times New Roman"/>
                <w:b/>
                <w:sz w:val="20"/>
                <w:szCs w:val="20"/>
              </w:rPr>
            </w:pPr>
            <w:r w:rsidRPr="00AE28AC">
              <w:rPr>
                <w:rFonts w:ascii="Times New Roman" w:eastAsia="Times New Roman" w:hAnsi="Times New Roman" w:cs="Times New Roman"/>
                <w:b/>
                <w:sz w:val="20"/>
                <w:szCs w:val="20"/>
              </w:rPr>
              <w:t>Obiectiv general 1:</w:t>
            </w:r>
          </w:p>
          <w:p w14:paraId="4A026241" w14:textId="28081EB3" w:rsidR="00485A97" w:rsidRPr="00C7694A" w:rsidRDefault="00976C54" w:rsidP="00C7694A">
            <w:pPr>
              <w:shd w:val="clear" w:color="auto" w:fill="FFFFFF"/>
              <w:spacing w:after="0" w:line="240" w:lineRule="auto"/>
              <w:jc w:val="both"/>
              <w:rPr>
                <w:rFonts w:ascii="Times New Roman" w:eastAsia="Times New Roman" w:hAnsi="Times New Roman" w:cs="Times New Roman"/>
                <w:sz w:val="20"/>
                <w:szCs w:val="20"/>
                <w:highlight w:val="yellow"/>
              </w:rPr>
            </w:pPr>
            <w:r w:rsidRPr="00AE28AC">
              <w:rPr>
                <w:rFonts w:ascii="Times New Roman" w:eastAsia="Times New Roman" w:hAnsi="Times New Roman" w:cs="Times New Roman"/>
                <w:sz w:val="20"/>
                <w:szCs w:val="20"/>
              </w:rPr>
              <w:t xml:space="preserve">Creșterea numărului de tineri care beneficiază de programe calitative de tineret prin consolidarea capacităților în cadrul sectorului și profesionalizarea resurselor umane </w:t>
            </w:r>
          </w:p>
        </w:tc>
        <w:tc>
          <w:tcPr>
            <w:tcW w:w="1680" w:type="dxa"/>
          </w:tcPr>
          <w:p w14:paraId="58803EDD"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Ponderea tinerilor unici care beneficiază anual de programe de tineret realizate în cadrul Strategiei</w:t>
            </w:r>
          </w:p>
        </w:tc>
        <w:tc>
          <w:tcPr>
            <w:tcW w:w="1275" w:type="dxa"/>
          </w:tcPr>
          <w:p w14:paraId="4AF889AA"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Sex</w:t>
            </w:r>
          </w:p>
          <w:p w14:paraId="3BC60F62"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Reședință</w:t>
            </w:r>
          </w:p>
          <w:p w14:paraId="3848E729"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Statut</w:t>
            </w:r>
          </w:p>
          <w:p w14:paraId="20B3B5A6" w14:textId="5A8E93EA"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Vârstă</w:t>
            </w:r>
          </w:p>
        </w:tc>
        <w:tc>
          <w:tcPr>
            <w:tcW w:w="1185" w:type="dxa"/>
          </w:tcPr>
          <w:p w14:paraId="294C7839"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15%  din numărul de tineri </w:t>
            </w:r>
          </w:p>
        </w:tc>
        <w:tc>
          <w:tcPr>
            <w:tcW w:w="1695" w:type="dxa"/>
          </w:tcPr>
          <w:p w14:paraId="75ACF127"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Raport anual consolidat  privind beneficiarii programelor și proiectelor de tineret</w:t>
            </w:r>
          </w:p>
        </w:tc>
        <w:tc>
          <w:tcPr>
            <w:tcW w:w="720" w:type="dxa"/>
          </w:tcPr>
          <w:p w14:paraId="06AC6C31"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30%</w:t>
            </w:r>
          </w:p>
        </w:tc>
        <w:tc>
          <w:tcPr>
            <w:tcW w:w="840" w:type="dxa"/>
          </w:tcPr>
          <w:p w14:paraId="1FBF5391"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45%</w:t>
            </w:r>
          </w:p>
        </w:tc>
      </w:tr>
      <w:tr w:rsidR="00AE28AC" w14:paraId="7EC5C119" w14:textId="77777777">
        <w:trPr>
          <w:trHeight w:val="1976"/>
        </w:trPr>
        <w:tc>
          <w:tcPr>
            <w:tcW w:w="2475" w:type="dxa"/>
          </w:tcPr>
          <w:p w14:paraId="5EBEB808" w14:textId="3251984C" w:rsidR="00AE28AC" w:rsidRPr="00AE28AC" w:rsidRDefault="00AE28AC" w:rsidP="00AE28AC">
            <w:pPr>
              <w:rPr>
                <w:rFonts w:ascii="Times New Roman" w:eastAsia="Times New Roman" w:hAnsi="Times New Roman" w:cs="Times New Roman"/>
                <w:b/>
                <w:sz w:val="20"/>
                <w:szCs w:val="20"/>
              </w:rPr>
            </w:pPr>
            <w:r w:rsidRPr="00AE28AC">
              <w:rPr>
                <w:rFonts w:ascii="Times New Roman" w:eastAsia="Times New Roman" w:hAnsi="Times New Roman" w:cs="Times New Roman"/>
                <w:sz w:val="20"/>
                <w:szCs w:val="20"/>
              </w:rPr>
              <w:t>Centrele de tineret oferă mai multe programe calitative și incluzive pentru tineri</w:t>
            </w:r>
          </w:p>
        </w:tc>
        <w:tc>
          <w:tcPr>
            <w:tcW w:w="1680" w:type="dxa"/>
          </w:tcPr>
          <w:p w14:paraId="55A6F89A" w14:textId="790C46E5"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Numărul total al programelor de tineret evaluate ca fiind calitative</w:t>
            </w:r>
          </w:p>
        </w:tc>
        <w:tc>
          <w:tcPr>
            <w:tcW w:w="1275" w:type="dxa"/>
          </w:tcPr>
          <w:p w14:paraId="6708AF82"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Tipul de programe</w:t>
            </w:r>
          </w:p>
          <w:p w14:paraId="5341F2DB"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Competențele tinerilor țintite </w:t>
            </w:r>
          </w:p>
          <w:p w14:paraId="019C02CB" w14:textId="240E933A" w:rsidR="00AE28AC" w:rsidRPr="00AE28AC" w:rsidRDefault="00AE28AC" w:rsidP="00AE28AC">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Acoperire geografică a programelor </w:t>
            </w:r>
          </w:p>
        </w:tc>
        <w:tc>
          <w:tcPr>
            <w:tcW w:w="1185" w:type="dxa"/>
          </w:tcPr>
          <w:p w14:paraId="5923C6DD" w14:textId="5E32DF7A" w:rsidR="00AE28AC" w:rsidRPr="00AE28AC" w:rsidRDefault="00AE28AC" w:rsidP="00AE28AC">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4C90F110" w14:textId="156D955F"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Evaluarea anuală a programelor de tineret realizată de către Agenția Națională pentru Dezvoltarea Programelor și Activității de Tineret</w:t>
            </w:r>
          </w:p>
        </w:tc>
        <w:tc>
          <w:tcPr>
            <w:tcW w:w="720" w:type="dxa"/>
          </w:tcPr>
          <w:p w14:paraId="6F7CE3E0" w14:textId="7A9AC0B5" w:rsidR="00AE28AC" w:rsidRPr="00AE28AC" w:rsidRDefault="00AE28AC"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70</w:t>
            </w:r>
          </w:p>
        </w:tc>
        <w:tc>
          <w:tcPr>
            <w:tcW w:w="840" w:type="dxa"/>
          </w:tcPr>
          <w:p w14:paraId="253F0C40" w14:textId="1DDFEB46" w:rsidR="00AE28AC" w:rsidRPr="00AE28AC" w:rsidRDefault="00AE28AC"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100</w:t>
            </w:r>
          </w:p>
        </w:tc>
      </w:tr>
      <w:tr w:rsidR="00AE28AC" w14:paraId="3808C520" w14:textId="77777777">
        <w:trPr>
          <w:trHeight w:val="1976"/>
        </w:trPr>
        <w:tc>
          <w:tcPr>
            <w:tcW w:w="2475" w:type="dxa"/>
          </w:tcPr>
          <w:p w14:paraId="7574D197" w14:textId="7B502B95"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Organizațiile de tineret dezvoltă și realizează mai multe programe pentru tineri</w:t>
            </w:r>
          </w:p>
        </w:tc>
        <w:tc>
          <w:tcPr>
            <w:tcW w:w="1680" w:type="dxa"/>
          </w:tcPr>
          <w:p w14:paraId="1D998E5C" w14:textId="6D38897C"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Numărul programelor pentru tineri realizate de organizațiile de tineret </w:t>
            </w:r>
          </w:p>
        </w:tc>
        <w:tc>
          <w:tcPr>
            <w:tcW w:w="1275" w:type="dxa"/>
          </w:tcPr>
          <w:p w14:paraId="2CFF44AC"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Tipul de proiecte anual noi create </w:t>
            </w:r>
          </w:p>
          <w:p w14:paraId="57FA403E"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Tematica abordată</w:t>
            </w:r>
          </w:p>
          <w:p w14:paraId="367F687C"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Competențele tinerilor țintite </w:t>
            </w:r>
          </w:p>
          <w:p w14:paraId="26F726AE" w14:textId="50D82E58"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Acoperire geografică a proiectelor</w:t>
            </w:r>
          </w:p>
        </w:tc>
        <w:tc>
          <w:tcPr>
            <w:tcW w:w="1185" w:type="dxa"/>
          </w:tcPr>
          <w:p w14:paraId="7293B115" w14:textId="1076C2E2" w:rsidR="00AE28AC" w:rsidRPr="00AE28AC" w:rsidRDefault="00AE28AC" w:rsidP="00AE28AC">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371F1492" w14:textId="77777777"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Raport de evaluare anuală a proiectelor de tineret realizat de către Agenția Națională pentru Dezvoltarea Programelor și Activității de Tineret</w:t>
            </w:r>
          </w:p>
          <w:p w14:paraId="26FD6499" w14:textId="3E64EEEB" w:rsidR="00AE28AC" w:rsidRPr="00AE28AC" w:rsidRDefault="00AE28AC" w:rsidP="00AE28AC">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Calcule în baza rapoartelor colectate</w:t>
            </w:r>
          </w:p>
        </w:tc>
        <w:tc>
          <w:tcPr>
            <w:tcW w:w="720" w:type="dxa"/>
          </w:tcPr>
          <w:p w14:paraId="6208FFB2" w14:textId="412E8AF5" w:rsidR="00AE28AC" w:rsidRPr="00AE28AC" w:rsidRDefault="00AE28AC"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37</w:t>
            </w:r>
          </w:p>
        </w:tc>
        <w:tc>
          <w:tcPr>
            <w:tcW w:w="840" w:type="dxa"/>
          </w:tcPr>
          <w:p w14:paraId="0E463FC3" w14:textId="3195ADD3" w:rsidR="00AE28AC" w:rsidRPr="00AE28AC" w:rsidRDefault="00AE28AC"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120</w:t>
            </w:r>
          </w:p>
        </w:tc>
      </w:tr>
      <w:tr w:rsidR="00C7694A" w14:paraId="1429D3C5" w14:textId="77777777">
        <w:trPr>
          <w:trHeight w:val="1976"/>
        </w:trPr>
        <w:tc>
          <w:tcPr>
            <w:tcW w:w="2475" w:type="dxa"/>
          </w:tcPr>
          <w:p w14:paraId="76336B4B" w14:textId="192FA6E0"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lastRenderedPageBreak/>
              <w:t>Comunitatea lucrătorilor de tineret calificați este extinsă numeric și geografic</w:t>
            </w:r>
          </w:p>
        </w:tc>
        <w:tc>
          <w:tcPr>
            <w:tcW w:w="1680" w:type="dxa"/>
          </w:tcPr>
          <w:p w14:paraId="2DA8073F" w14:textId="21FC8B52"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Ponderea lucrătorilor de tineret calificați în totalul lucrătorilor de tineret</w:t>
            </w:r>
          </w:p>
        </w:tc>
        <w:tc>
          <w:tcPr>
            <w:tcW w:w="1275" w:type="dxa"/>
          </w:tcPr>
          <w:p w14:paraId="7079955D" w14:textId="7777777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Tipul organizației în care activează lucrătorul de tineret</w:t>
            </w:r>
          </w:p>
          <w:p w14:paraId="0364030E" w14:textId="7777777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Acoperire geografică a activităților realizate de lucrătorii de tineret calificați </w:t>
            </w:r>
          </w:p>
          <w:p w14:paraId="222ABE0D" w14:textId="2ED5E3B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Nivelul de profesionalizare a lucrătorilor de tineret</w:t>
            </w:r>
          </w:p>
        </w:tc>
        <w:tc>
          <w:tcPr>
            <w:tcW w:w="1185" w:type="dxa"/>
          </w:tcPr>
          <w:p w14:paraId="5CC9BB1C" w14:textId="5E8D9CB9"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421BF877" w14:textId="79C25CB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Registrul național al lucrătorilor de tineret </w:t>
            </w:r>
          </w:p>
        </w:tc>
        <w:tc>
          <w:tcPr>
            <w:tcW w:w="720" w:type="dxa"/>
          </w:tcPr>
          <w:p w14:paraId="4617B829" w14:textId="306BCDD2" w:rsidR="00C7694A" w:rsidRPr="00AE28AC" w:rsidRDefault="00C7694A"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35%</w:t>
            </w:r>
          </w:p>
        </w:tc>
        <w:tc>
          <w:tcPr>
            <w:tcW w:w="840" w:type="dxa"/>
          </w:tcPr>
          <w:p w14:paraId="1700C8F3" w14:textId="32C3B626" w:rsidR="00C7694A" w:rsidRPr="00AE28AC" w:rsidRDefault="00C7694A"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50%</w:t>
            </w:r>
          </w:p>
        </w:tc>
      </w:tr>
      <w:tr w:rsidR="00485A97" w14:paraId="0449B217" w14:textId="77777777">
        <w:trPr>
          <w:trHeight w:val="240"/>
        </w:trPr>
        <w:tc>
          <w:tcPr>
            <w:tcW w:w="2475" w:type="dxa"/>
          </w:tcPr>
          <w:p w14:paraId="30B7C4B1" w14:textId="77777777" w:rsidR="00485A97" w:rsidRPr="00AE28AC" w:rsidRDefault="00976C54">
            <w:pPr>
              <w:jc w:val="both"/>
              <w:rPr>
                <w:rFonts w:ascii="Times New Roman" w:eastAsia="Times New Roman" w:hAnsi="Times New Roman" w:cs="Times New Roman"/>
                <w:b/>
                <w:sz w:val="20"/>
                <w:szCs w:val="20"/>
              </w:rPr>
            </w:pPr>
            <w:r w:rsidRPr="00AE28AC">
              <w:rPr>
                <w:rFonts w:ascii="Times New Roman" w:eastAsia="Times New Roman" w:hAnsi="Times New Roman" w:cs="Times New Roman"/>
                <w:b/>
                <w:sz w:val="20"/>
                <w:szCs w:val="20"/>
              </w:rPr>
              <w:t xml:space="preserve">Obiectiv general 2: </w:t>
            </w:r>
          </w:p>
          <w:p w14:paraId="1501793E" w14:textId="0146AF30" w:rsidR="00485A97" w:rsidRPr="00AE28AC" w:rsidRDefault="00714E57">
            <w:pPr>
              <w:shd w:val="clear" w:color="auto" w:fill="FFFFFF"/>
              <w:spacing w:after="0" w:line="240" w:lineRule="auto"/>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Crește</w:t>
            </w:r>
            <w:r w:rsidR="00976C54" w:rsidRPr="00AE28AC">
              <w:rPr>
                <w:rFonts w:ascii="Times New Roman" w:eastAsia="Times New Roman" w:hAnsi="Times New Roman" w:cs="Times New Roman"/>
                <w:sz w:val="20"/>
                <w:szCs w:val="20"/>
              </w:rPr>
              <w:t xml:space="preserve">rea nivelului de participare și implicare civică prin programe de instruire, capacitare și împuternicire a tinerilor </w:t>
            </w:r>
          </w:p>
        </w:tc>
        <w:tc>
          <w:tcPr>
            <w:tcW w:w="1680" w:type="dxa"/>
          </w:tcPr>
          <w:p w14:paraId="7495092D"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Rata de implicare a tinerilor în activități civice și procese decizionale</w:t>
            </w:r>
          </w:p>
          <w:p w14:paraId="148DF265" w14:textId="77777777" w:rsidR="00485A97" w:rsidRPr="00AE28AC" w:rsidRDefault="00485A97">
            <w:pPr>
              <w:rPr>
                <w:rFonts w:ascii="Times New Roman" w:eastAsia="Times New Roman" w:hAnsi="Times New Roman" w:cs="Times New Roman"/>
                <w:sz w:val="20"/>
                <w:szCs w:val="20"/>
              </w:rPr>
            </w:pPr>
          </w:p>
        </w:tc>
        <w:tc>
          <w:tcPr>
            <w:tcW w:w="1275" w:type="dxa"/>
          </w:tcPr>
          <w:p w14:paraId="2498C7A9"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Sex</w:t>
            </w:r>
          </w:p>
          <w:p w14:paraId="1430765D"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Reședință</w:t>
            </w:r>
          </w:p>
          <w:p w14:paraId="22398AB4"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Statut</w:t>
            </w:r>
          </w:p>
          <w:p w14:paraId="148AE8B8"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Vârstă</w:t>
            </w:r>
          </w:p>
          <w:p w14:paraId="300E9FB4" w14:textId="77777777" w:rsidR="00485A97" w:rsidRPr="00AE28AC" w:rsidRDefault="00485A97">
            <w:pPr>
              <w:jc w:val="both"/>
              <w:rPr>
                <w:rFonts w:ascii="Times New Roman" w:eastAsia="Times New Roman" w:hAnsi="Times New Roman" w:cs="Times New Roman"/>
                <w:sz w:val="20"/>
                <w:szCs w:val="20"/>
              </w:rPr>
            </w:pPr>
          </w:p>
        </w:tc>
        <w:tc>
          <w:tcPr>
            <w:tcW w:w="1185" w:type="dxa"/>
          </w:tcPr>
          <w:p w14:paraId="3C119375"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5% din numărul anual de tineri </w:t>
            </w:r>
          </w:p>
        </w:tc>
        <w:tc>
          <w:tcPr>
            <w:tcW w:w="1695" w:type="dxa"/>
          </w:tcPr>
          <w:p w14:paraId="0952CBE5"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Studiu privind participarea civică a tinerilor</w:t>
            </w:r>
          </w:p>
          <w:p w14:paraId="4864C23E"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Calcul în baza rapoartelor anuale a partenerilor și autorităților  </w:t>
            </w:r>
          </w:p>
        </w:tc>
        <w:tc>
          <w:tcPr>
            <w:tcW w:w="720" w:type="dxa"/>
          </w:tcPr>
          <w:p w14:paraId="5C7CAB40"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10%</w:t>
            </w:r>
          </w:p>
        </w:tc>
        <w:tc>
          <w:tcPr>
            <w:tcW w:w="840" w:type="dxa"/>
          </w:tcPr>
          <w:p w14:paraId="35C29137"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20%</w:t>
            </w:r>
          </w:p>
        </w:tc>
      </w:tr>
      <w:tr w:rsidR="00485A97" w14:paraId="6B32A7D1" w14:textId="77777777" w:rsidTr="00C7694A">
        <w:trPr>
          <w:trHeight w:val="2172"/>
        </w:trPr>
        <w:tc>
          <w:tcPr>
            <w:tcW w:w="2475" w:type="dxa"/>
          </w:tcPr>
          <w:p w14:paraId="34E1BF66" w14:textId="5836333F"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Mai multe structuri de reprezentare ale tinerilor devin funcționale</w:t>
            </w:r>
          </w:p>
        </w:tc>
        <w:tc>
          <w:tcPr>
            <w:tcW w:w="1680" w:type="dxa"/>
          </w:tcPr>
          <w:p w14:paraId="53786F90"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Ponderea autorităților care implică tinerii și structurile de tineret în procesele decizionale</w:t>
            </w:r>
          </w:p>
        </w:tc>
        <w:tc>
          <w:tcPr>
            <w:tcW w:w="1275" w:type="dxa"/>
          </w:tcPr>
          <w:p w14:paraId="4E5CDA67"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Tipul de structură de reprezentare</w:t>
            </w:r>
          </w:p>
          <w:p w14:paraId="610C64A6" w14:textId="2ACD5E83"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Acoperire geografică a structurilor funcționale</w:t>
            </w:r>
          </w:p>
        </w:tc>
        <w:tc>
          <w:tcPr>
            <w:tcW w:w="1185" w:type="dxa"/>
          </w:tcPr>
          <w:p w14:paraId="337E0DB2" w14:textId="66F33ED6" w:rsidR="00485A97" w:rsidRPr="00AE28AC" w:rsidRDefault="005F63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 există date </w:t>
            </w:r>
          </w:p>
        </w:tc>
        <w:tc>
          <w:tcPr>
            <w:tcW w:w="1695" w:type="dxa"/>
          </w:tcPr>
          <w:p w14:paraId="05337D96" w14:textId="23AF8DA6"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Studiul anual cu privire la funcționalitatea structurilor de reprezentare a tinerilor din Moldova. </w:t>
            </w:r>
          </w:p>
        </w:tc>
        <w:tc>
          <w:tcPr>
            <w:tcW w:w="720" w:type="dxa"/>
          </w:tcPr>
          <w:p w14:paraId="2365891C"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45%</w:t>
            </w:r>
          </w:p>
        </w:tc>
        <w:tc>
          <w:tcPr>
            <w:tcW w:w="840" w:type="dxa"/>
          </w:tcPr>
          <w:p w14:paraId="0949B1B2"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85%</w:t>
            </w:r>
          </w:p>
        </w:tc>
      </w:tr>
      <w:tr w:rsidR="00485A97" w14:paraId="2E5A84A9" w14:textId="77777777">
        <w:trPr>
          <w:trHeight w:val="240"/>
        </w:trPr>
        <w:tc>
          <w:tcPr>
            <w:tcW w:w="2475" w:type="dxa"/>
          </w:tcPr>
          <w:p w14:paraId="115CF8EF" w14:textId="2C6F5D92"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Mai multe structuri  ale tinerilor devin funcționale și active</w:t>
            </w:r>
          </w:p>
        </w:tc>
        <w:tc>
          <w:tcPr>
            <w:tcW w:w="1680" w:type="dxa"/>
          </w:tcPr>
          <w:p w14:paraId="36C6B3FA"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Ponderea structurilor informale ale tinerilor care realizează inițiative civice</w:t>
            </w:r>
          </w:p>
          <w:p w14:paraId="7FF35EC6" w14:textId="77777777" w:rsidR="00485A97" w:rsidRPr="00AE28AC" w:rsidRDefault="00485A97">
            <w:pPr>
              <w:rPr>
                <w:rFonts w:ascii="Times New Roman" w:eastAsia="Times New Roman" w:hAnsi="Times New Roman" w:cs="Times New Roman"/>
                <w:sz w:val="20"/>
                <w:szCs w:val="20"/>
              </w:rPr>
            </w:pPr>
          </w:p>
        </w:tc>
        <w:tc>
          <w:tcPr>
            <w:tcW w:w="1275" w:type="dxa"/>
          </w:tcPr>
          <w:p w14:paraId="3687D3C8"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Statut juridic al structurilor de tineret</w:t>
            </w:r>
          </w:p>
          <w:p w14:paraId="13D47142"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Zona geografică</w:t>
            </w:r>
          </w:p>
          <w:p w14:paraId="58099D09"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Tematică a organizațiilor nou create </w:t>
            </w:r>
          </w:p>
        </w:tc>
        <w:tc>
          <w:tcPr>
            <w:tcW w:w="1185" w:type="dxa"/>
          </w:tcPr>
          <w:p w14:paraId="03DA349F"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65215CC6"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Evaluare anuală în baza datelor oferite de către partenerii de implementare </w:t>
            </w:r>
          </w:p>
        </w:tc>
        <w:tc>
          <w:tcPr>
            <w:tcW w:w="720" w:type="dxa"/>
          </w:tcPr>
          <w:p w14:paraId="4BF10DCB"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70</w:t>
            </w:r>
          </w:p>
        </w:tc>
        <w:tc>
          <w:tcPr>
            <w:tcW w:w="840" w:type="dxa"/>
          </w:tcPr>
          <w:p w14:paraId="79AAF3DE"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100</w:t>
            </w:r>
          </w:p>
        </w:tc>
      </w:tr>
      <w:tr w:rsidR="00485A97" w14:paraId="2FE57268" w14:textId="77777777">
        <w:trPr>
          <w:trHeight w:val="240"/>
        </w:trPr>
        <w:tc>
          <w:tcPr>
            <w:tcW w:w="2475" w:type="dxa"/>
          </w:tcPr>
          <w:p w14:paraId="61A0085B" w14:textId="1B5171B1" w:rsidR="00485A97" w:rsidRPr="00AE28AC" w:rsidRDefault="00976C54">
            <w:pPr>
              <w:rPr>
                <w:rFonts w:ascii="Times New Roman" w:eastAsia="Times New Roman" w:hAnsi="Times New Roman" w:cs="Times New Roman"/>
                <w:b/>
                <w:sz w:val="20"/>
                <w:szCs w:val="20"/>
              </w:rPr>
            </w:pPr>
            <w:r w:rsidRPr="00AE28AC">
              <w:rPr>
                <w:rFonts w:ascii="Times New Roman" w:eastAsia="Times New Roman" w:hAnsi="Times New Roman" w:cs="Times New Roman"/>
                <w:sz w:val="20"/>
                <w:szCs w:val="20"/>
              </w:rPr>
              <w:t>Mai mulți tineri beneficiază de programe de voluntariat</w:t>
            </w:r>
          </w:p>
          <w:p w14:paraId="536D7767" w14:textId="77777777" w:rsidR="00485A97" w:rsidRPr="00AE28AC" w:rsidRDefault="00485A97">
            <w:pPr>
              <w:rPr>
                <w:rFonts w:ascii="Times New Roman" w:eastAsia="Times New Roman" w:hAnsi="Times New Roman" w:cs="Times New Roman"/>
                <w:b/>
                <w:sz w:val="20"/>
                <w:szCs w:val="20"/>
              </w:rPr>
            </w:pPr>
          </w:p>
        </w:tc>
        <w:tc>
          <w:tcPr>
            <w:tcW w:w="1680" w:type="dxa"/>
          </w:tcPr>
          <w:p w14:paraId="45C0BE74" w14:textId="1E836221"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Numărul cumulativ de oportunități de voluntariat </w:t>
            </w:r>
            <w:r w:rsidRPr="00AE28AC">
              <w:rPr>
                <w:rFonts w:ascii="Times New Roman" w:eastAsia="Times New Roman" w:hAnsi="Times New Roman" w:cs="Times New Roman"/>
                <w:sz w:val="20"/>
                <w:szCs w:val="20"/>
              </w:rPr>
              <w:lastRenderedPageBreak/>
              <w:t>disponibile pe platformă</w:t>
            </w:r>
          </w:p>
        </w:tc>
        <w:tc>
          <w:tcPr>
            <w:tcW w:w="1275" w:type="dxa"/>
          </w:tcPr>
          <w:p w14:paraId="0E57462E"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lastRenderedPageBreak/>
              <w:t>Domeniu de activitate</w:t>
            </w:r>
          </w:p>
          <w:p w14:paraId="452C049D"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Acoperire geografică</w:t>
            </w:r>
          </w:p>
        </w:tc>
        <w:tc>
          <w:tcPr>
            <w:tcW w:w="1185" w:type="dxa"/>
          </w:tcPr>
          <w:p w14:paraId="44B9D3D3"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280028DC"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Raport în baza datelor colectate din agregatorul de oportunități de voluntariat</w:t>
            </w:r>
          </w:p>
        </w:tc>
        <w:tc>
          <w:tcPr>
            <w:tcW w:w="720" w:type="dxa"/>
          </w:tcPr>
          <w:p w14:paraId="292C4648"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820</w:t>
            </w:r>
          </w:p>
        </w:tc>
        <w:tc>
          <w:tcPr>
            <w:tcW w:w="840" w:type="dxa"/>
          </w:tcPr>
          <w:p w14:paraId="22910123"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1000</w:t>
            </w:r>
          </w:p>
        </w:tc>
      </w:tr>
      <w:tr w:rsidR="00C7694A" w14:paraId="41C2A5E7" w14:textId="77777777">
        <w:trPr>
          <w:trHeight w:val="240"/>
        </w:trPr>
        <w:tc>
          <w:tcPr>
            <w:tcW w:w="2475" w:type="dxa"/>
          </w:tcPr>
          <w:p w14:paraId="3258D626" w14:textId="77777777" w:rsidR="00C7694A" w:rsidRDefault="00C7694A" w:rsidP="00C7694A">
            <w:pPr>
              <w:rPr>
                <w:rFonts w:ascii="Times New Roman" w:eastAsia="Times New Roman" w:hAnsi="Times New Roman" w:cs="Times New Roman"/>
                <w:b/>
                <w:sz w:val="20"/>
                <w:szCs w:val="20"/>
              </w:rPr>
            </w:pPr>
            <w:r w:rsidRPr="00AE28AC">
              <w:rPr>
                <w:rFonts w:ascii="Times New Roman" w:eastAsia="Times New Roman" w:hAnsi="Times New Roman" w:cs="Times New Roman"/>
                <w:b/>
                <w:sz w:val="20"/>
                <w:szCs w:val="20"/>
              </w:rPr>
              <w:lastRenderedPageBreak/>
              <w:t xml:space="preserve">Obiectiv general 3: </w:t>
            </w:r>
          </w:p>
          <w:p w14:paraId="48057032" w14:textId="151C369D" w:rsidR="00C7694A" w:rsidRPr="00AE28AC" w:rsidRDefault="00C7694A" w:rsidP="00C7694A">
            <w:pPr>
              <w:rPr>
                <w:rFonts w:ascii="Times New Roman" w:eastAsia="Times New Roman" w:hAnsi="Times New Roman" w:cs="Times New Roman"/>
                <w:b/>
                <w:sz w:val="20"/>
                <w:szCs w:val="20"/>
              </w:rPr>
            </w:pPr>
            <w:r w:rsidRPr="00AE28AC">
              <w:rPr>
                <w:rFonts w:ascii="Times New Roman" w:eastAsia="Times New Roman" w:hAnsi="Times New Roman" w:cs="Times New Roman"/>
                <w:sz w:val="20"/>
                <w:szCs w:val="20"/>
              </w:rPr>
              <w:t>Valorificarea potențialului tinerilor de a realiza inițiative de inovație social și dezvoltare comunitară  prin instrumente de suport financiar și material</w:t>
            </w:r>
          </w:p>
        </w:tc>
        <w:tc>
          <w:tcPr>
            <w:tcW w:w="1680" w:type="dxa"/>
          </w:tcPr>
          <w:p w14:paraId="20D67334" w14:textId="7777777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Numărul de inițiative de inovație socială realizate în cadrul Strategiei</w:t>
            </w:r>
          </w:p>
          <w:p w14:paraId="13AE0AB4" w14:textId="77777777" w:rsidR="00C7694A" w:rsidRPr="00AE28AC" w:rsidRDefault="00C7694A" w:rsidP="00C7694A">
            <w:pPr>
              <w:rPr>
                <w:rFonts w:ascii="Times New Roman" w:eastAsia="Times New Roman" w:hAnsi="Times New Roman" w:cs="Times New Roman"/>
                <w:sz w:val="20"/>
                <w:szCs w:val="20"/>
              </w:rPr>
            </w:pPr>
          </w:p>
        </w:tc>
        <w:tc>
          <w:tcPr>
            <w:tcW w:w="1275" w:type="dxa"/>
          </w:tcPr>
          <w:p w14:paraId="5E0E5E51" w14:textId="77777777"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Sex</w:t>
            </w:r>
          </w:p>
          <w:p w14:paraId="68452DC1" w14:textId="77777777"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Reședință</w:t>
            </w:r>
          </w:p>
          <w:p w14:paraId="40F92745" w14:textId="77777777"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Statut</w:t>
            </w:r>
          </w:p>
          <w:p w14:paraId="316459F5" w14:textId="77777777"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Vârstă</w:t>
            </w:r>
          </w:p>
          <w:p w14:paraId="16DD5B62" w14:textId="77777777" w:rsidR="00C7694A" w:rsidRPr="00AE28AC" w:rsidRDefault="00C7694A" w:rsidP="00C7694A">
            <w:pPr>
              <w:rPr>
                <w:rFonts w:ascii="Times New Roman" w:eastAsia="Times New Roman" w:hAnsi="Times New Roman" w:cs="Times New Roman"/>
                <w:sz w:val="20"/>
                <w:szCs w:val="20"/>
              </w:rPr>
            </w:pPr>
          </w:p>
        </w:tc>
        <w:tc>
          <w:tcPr>
            <w:tcW w:w="1185" w:type="dxa"/>
          </w:tcPr>
          <w:p w14:paraId="450776B9" w14:textId="71DBE850" w:rsidR="00C7694A" w:rsidRPr="00AE28AC" w:rsidRDefault="00C7694A" w:rsidP="00C7694A">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Nu există date </w:t>
            </w:r>
          </w:p>
        </w:tc>
        <w:tc>
          <w:tcPr>
            <w:tcW w:w="1695" w:type="dxa"/>
          </w:tcPr>
          <w:p w14:paraId="1C6C3CE0" w14:textId="77777777"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Analiza de impact a proiectelor și inițiativelor de inovație finanțate </w:t>
            </w:r>
          </w:p>
          <w:p w14:paraId="4A6272EB" w14:textId="7F6821EE" w:rsidR="00C7694A" w:rsidRPr="00AE28AC" w:rsidRDefault="00C7694A" w:rsidP="00C7694A">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Calculele în baza rapoartelor anuale partenerilor de implementare</w:t>
            </w:r>
          </w:p>
        </w:tc>
        <w:tc>
          <w:tcPr>
            <w:tcW w:w="720" w:type="dxa"/>
          </w:tcPr>
          <w:p w14:paraId="3DDF87CC" w14:textId="58EAAF61" w:rsidR="00C7694A" w:rsidRPr="00AE28AC" w:rsidRDefault="00C7694A"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148</w:t>
            </w:r>
          </w:p>
        </w:tc>
        <w:tc>
          <w:tcPr>
            <w:tcW w:w="840" w:type="dxa"/>
          </w:tcPr>
          <w:p w14:paraId="43698290" w14:textId="3E570942" w:rsidR="00C7694A" w:rsidRPr="00AE28AC" w:rsidRDefault="00C7694A"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300</w:t>
            </w:r>
          </w:p>
        </w:tc>
      </w:tr>
      <w:tr w:rsidR="00485A97" w14:paraId="3039B1D2" w14:textId="77777777">
        <w:trPr>
          <w:trHeight w:val="240"/>
        </w:trPr>
        <w:tc>
          <w:tcPr>
            <w:tcW w:w="2475" w:type="dxa"/>
          </w:tcPr>
          <w:p w14:paraId="1062DFB1" w14:textId="2C0B0DD5"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Mai multe autorități locale implementează programe de suport pentru tineri</w:t>
            </w:r>
          </w:p>
        </w:tc>
        <w:tc>
          <w:tcPr>
            <w:tcW w:w="1680" w:type="dxa"/>
          </w:tcPr>
          <w:p w14:paraId="3C2C4FF5"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Numărul APL de nivel II realizează programe de suport a inițiativelor tinerilor la nivel local. </w:t>
            </w:r>
          </w:p>
        </w:tc>
        <w:tc>
          <w:tcPr>
            <w:tcW w:w="1275" w:type="dxa"/>
          </w:tcPr>
          <w:p w14:paraId="0B044EDC"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Acoperire geografică</w:t>
            </w:r>
          </w:p>
          <w:p w14:paraId="3F521421"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Tematica proiectelor susținute</w:t>
            </w:r>
          </w:p>
          <w:p w14:paraId="4ADB1765" w14:textId="77777777" w:rsidR="00485A97" w:rsidRPr="00AE28AC" w:rsidRDefault="00485A97">
            <w:pPr>
              <w:rPr>
                <w:rFonts w:ascii="Times New Roman" w:eastAsia="Times New Roman" w:hAnsi="Times New Roman" w:cs="Times New Roman"/>
                <w:sz w:val="20"/>
                <w:szCs w:val="20"/>
              </w:rPr>
            </w:pPr>
          </w:p>
        </w:tc>
        <w:tc>
          <w:tcPr>
            <w:tcW w:w="1185" w:type="dxa"/>
          </w:tcPr>
          <w:p w14:paraId="521D5CA0"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11 APL de nivel 2</w:t>
            </w:r>
          </w:p>
        </w:tc>
        <w:tc>
          <w:tcPr>
            <w:tcW w:w="1695" w:type="dxa"/>
          </w:tcPr>
          <w:p w14:paraId="4B774549"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Raport elaborat de MEC în baza datelor colectate de la APL </w:t>
            </w:r>
          </w:p>
        </w:tc>
        <w:tc>
          <w:tcPr>
            <w:tcW w:w="720" w:type="dxa"/>
          </w:tcPr>
          <w:p w14:paraId="39A9CF39"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26</w:t>
            </w:r>
          </w:p>
        </w:tc>
        <w:tc>
          <w:tcPr>
            <w:tcW w:w="840" w:type="dxa"/>
          </w:tcPr>
          <w:p w14:paraId="427F7F0B"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32</w:t>
            </w:r>
          </w:p>
        </w:tc>
      </w:tr>
      <w:tr w:rsidR="00485A97" w14:paraId="1CE6AF7F" w14:textId="77777777">
        <w:trPr>
          <w:trHeight w:val="240"/>
        </w:trPr>
        <w:tc>
          <w:tcPr>
            <w:tcW w:w="2475" w:type="dxa"/>
          </w:tcPr>
          <w:p w14:paraId="3067A38D" w14:textId="3F1E6A96" w:rsidR="00485A97" w:rsidRPr="00AE28AC" w:rsidRDefault="00976C54">
            <w:pPr>
              <w:rPr>
                <w:rFonts w:ascii="Times New Roman" w:eastAsia="Times New Roman" w:hAnsi="Times New Roman" w:cs="Times New Roman"/>
                <w:b/>
                <w:sz w:val="20"/>
                <w:szCs w:val="20"/>
              </w:rPr>
            </w:pPr>
            <w:r w:rsidRPr="00AE28AC">
              <w:rPr>
                <w:rFonts w:ascii="Times New Roman" w:eastAsia="Times New Roman" w:hAnsi="Times New Roman" w:cs="Times New Roman"/>
                <w:sz w:val="20"/>
                <w:szCs w:val="20"/>
              </w:rPr>
              <w:t>Mai multe organizații de tineret implementează cu succes inițiative de inovație socială</w:t>
            </w:r>
          </w:p>
        </w:tc>
        <w:tc>
          <w:tcPr>
            <w:tcW w:w="1680" w:type="dxa"/>
          </w:tcPr>
          <w:p w14:paraId="12FA1F08"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Numărul cumulativ de proiecte de inovație socială susținute în cadrul Strategiei</w:t>
            </w:r>
          </w:p>
        </w:tc>
        <w:tc>
          <w:tcPr>
            <w:tcW w:w="1275" w:type="dxa"/>
          </w:tcPr>
          <w:p w14:paraId="20854256"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Domeniul de intervenție</w:t>
            </w:r>
          </w:p>
          <w:p w14:paraId="334E9B36"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Zona geografică </w:t>
            </w:r>
          </w:p>
          <w:p w14:paraId="7F25EE08" w14:textId="77777777" w:rsidR="00485A97" w:rsidRPr="00AE28AC" w:rsidRDefault="00485A97">
            <w:pPr>
              <w:rPr>
                <w:rFonts w:ascii="Times New Roman" w:eastAsia="Times New Roman" w:hAnsi="Times New Roman" w:cs="Times New Roman"/>
                <w:sz w:val="20"/>
                <w:szCs w:val="20"/>
              </w:rPr>
            </w:pPr>
          </w:p>
        </w:tc>
        <w:tc>
          <w:tcPr>
            <w:tcW w:w="1185" w:type="dxa"/>
          </w:tcPr>
          <w:p w14:paraId="6D29AB94"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72A84493"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Rapoartele de implementare a programelor de granturi </w:t>
            </w:r>
          </w:p>
        </w:tc>
        <w:tc>
          <w:tcPr>
            <w:tcW w:w="720" w:type="dxa"/>
          </w:tcPr>
          <w:p w14:paraId="3C5BA653"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148</w:t>
            </w:r>
          </w:p>
        </w:tc>
        <w:tc>
          <w:tcPr>
            <w:tcW w:w="840" w:type="dxa"/>
          </w:tcPr>
          <w:p w14:paraId="23089FC9"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170</w:t>
            </w:r>
          </w:p>
        </w:tc>
      </w:tr>
      <w:tr w:rsidR="00485A97" w14:paraId="67C64DA8" w14:textId="77777777" w:rsidTr="00C7694A">
        <w:trPr>
          <w:trHeight w:val="2308"/>
        </w:trPr>
        <w:tc>
          <w:tcPr>
            <w:tcW w:w="2475" w:type="dxa"/>
          </w:tcPr>
          <w:p w14:paraId="58E76DEE" w14:textId="1AAF755D"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Mai multe structuri de tineret funcționează în instituțiile de învățământ superior</w:t>
            </w:r>
          </w:p>
        </w:tc>
        <w:tc>
          <w:tcPr>
            <w:tcW w:w="1680" w:type="dxa"/>
          </w:tcPr>
          <w:p w14:paraId="417138A6"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Numărul organizațiilor studențești active</w:t>
            </w:r>
          </w:p>
          <w:p w14:paraId="2F971571" w14:textId="77777777" w:rsidR="00485A97" w:rsidRPr="00AE28AC" w:rsidRDefault="00485A97">
            <w:pPr>
              <w:rPr>
                <w:rFonts w:ascii="Times New Roman" w:eastAsia="Times New Roman" w:hAnsi="Times New Roman" w:cs="Times New Roman"/>
                <w:sz w:val="20"/>
                <w:szCs w:val="20"/>
              </w:rPr>
            </w:pPr>
          </w:p>
        </w:tc>
        <w:tc>
          <w:tcPr>
            <w:tcW w:w="1275" w:type="dxa"/>
          </w:tcPr>
          <w:p w14:paraId="521E616C"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 xml:space="preserve">Tematica organizației </w:t>
            </w:r>
          </w:p>
          <w:p w14:paraId="728C501C"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Sex</w:t>
            </w:r>
          </w:p>
          <w:p w14:paraId="0BEA473F"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Vârstă</w:t>
            </w:r>
          </w:p>
          <w:p w14:paraId="35BC0624" w14:textId="77777777" w:rsidR="00485A97" w:rsidRPr="00AE28AC" w:rsidRDefault="00976C54">
            <w:pP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Acoperire instituțională</w:t>
            </w:r>
          </w:p>
        </w:tc>
        <w:tc>
          <w:tcPr>
            <w:tcW w:w="1185" w:type="dxa"/>
          </w:tcPr>
          <w:p w14:paraId="09446D25" w14:textId="77777777" w:rsidR="00485A97" w:rsidRPr="00AE28AC" w:rsidRDefault="00976C54">
            <w:pPr>
              <w:jc w:val="both"/>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Nu există date</w:t>
            </w:r>
          </w:p>
        </w:tc>
        <w:tc>
          <w:tcPr>
            <w:tcW w:w="1695" w:type="dxa"/>
          </w:tcPr>
          <w:p w14:paraId="211BE4A8" w14:textId="77777777" w:rsidR="00485A97" w:rsidRPr="00AE28AC" w:rsidRDefault="00976C54">
            <w:pPr>
              <w:rPr>
                <w:rFonts w:ascii="Times New Roman" w:eastAsia="Times New Roman" w:hAnsi="Times New Roman" w:cs="Times New Roman"/>
                <w:sz w:val="20"/>
                <w:szCs w:val="20"/>
              </w:rPr>
            </w:pPr>
            <w:bookmarkStart w:id="2" w:name="_heading=h.30j0zll" w:colFirst="0" w:colLast="0"/>
            <w:bookmarkEnd w:id="2"/>
            <w:r w:rsidRPr="00AE28AC">
              <w:rPr>
                <w:rFonts w:ascii="Times New Roman" w:eastAsia="Times New Roman" w:hAnsi="Times New Roman" w:cs="Times New Roman"/>
                <w:sz w:val="20"/>
                <w:szCs w:val="20"/>
              </w:rPr>
              <w:t xml:space="preserve">Raport consolidat realizat de MEC din date colectate de la instituțiile de învățământ </w:t>
            </w:r>
          </w:p>
        </w:tc>
        <w:tc>
          <w:tcPr>
            <w:tcW w:w="720" w:type="dxa"/>
          </w:tcPr>
          <w:p w14:paraId="461FCE0F"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25</w:t>
            </w:r>
          </w:p>
        </w:tc>
        <w:tc>
          <w:tcPr>
            <w:tcW w:w="840" w:type="dxa"/>
          </w:tcPr>
          <w:p w14:paraId="4D30E4CC" w14:textId="77777777" w:rsidR="00485A97" w:rsidRPr="00AE28AC" w:rsidRDefault="00976C54" w:rsidP="00C7694A">
            <w:pPr>
              <w:jc w:val="center"/>
              <w:rPr>
                <w:rFonts w:ascii="Times New Roman" w:eastAsia="Times New Roman" w:hAnsi="Times New Roman" w:cs="Times New Roman"/>
                <w:sz w:val="20"/>
                <w:szCs w:val="20"/>
              </w:rPr>
            </w:pPr>
            <w:r w:rsidRPr="00AE28AC">
              <w:rPr>
                <w:rFonts w:ascii="Times New Roman" w:eastAsia="Times New Roman" w:hAnsi="Times New Roman" w:cs="Times New Roman"/>
                <w:sz w:val="20"/>
                <w:szCs w:val="20"/>
              </w:rPr>
              <w:t>50</w:t>
            </w:r>
          </w:p>
        </w:tc>
      </w:tr>
    </w:tbl>
    <w:p w14:paraId="3D9E2748" w14:textId="77777777" w:rsidR="00485A97" w:rsidRDefault="00485A97">
      <w:pPr>
        <w:shd w:val="clear" w:color="auto" w:fill="FFFFFF"/>
        <w:spacing w:after="0" w:line="240" w:lineRule="auto"/>
        <w:jc w:val="both"/>
        <w:rPr>
          <w:rFonts w:ascii="Times New Roman" w:eastAsia="Times New Roman" w:hAnsi="Times New Roman" w:cs="Times New Roman"/>
          <w:sz w:val="24"/>
          <w:szCs w:val="24"/>
        </w:rPr>
      </w:pPr>
    </w:p>
    <w:p w14:paraId="7755DBA8" w14:textId="77777777" w:rsidR="00485A97" w:rsidRDefault="00976C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D8A874" w14:textId="77777777" w:rsidR="00485A97" w:rsidRDefault="00976C5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RISCURI DE IMPLEMENTARE</w:t>
      </w:r>
    </w:p>
    <w:p w14:paraId="19C33DB0" w14:textId="77777777" w:rsidR="00485A97" w:rsidRDefault="00485A97">
      <w:pPr>
        <w:spacing w:after="0" w:line="240" w:lineRule="auto"/>
        <w:rPr>
          <w:rFonts w:ascii="Times New Roman" w:eastAsia="Times New Roman" w:hAnsi="Times New Roman" w:cs="Times New Roman"/>
          <w:sz w:val="24"/>
          <w:szCs w:val="24"/>
        </w:rPr>
      </w:pPr>
    </w:p>
    <w:p w14:paraId="722250B7" w14:textId="77777777"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Implementarea cu succes a Strategiei </w:t>
      </w:r>
      <w:r>
        <w:rPr>
          <w:rFonts w:ascii="Times New Roman" w:eastAsia="Times New Roman" w:hAnsi="Times New Roman" w:cs="Times New Roman"/>
          <w:i/>
          <w:color w:val="000000"/>
          <w:sz w:val="24"/>
          <w:szCs w:val="24"/>
          <w:highlight w:val="white"/>
        </w:rPr>
        <w:t>Tineret 2030</w:t>
      </w:r>
      <w:r>
        <w:rPr>
          <w:rFonts w:ascii="Times New Roman" w:eastAsia="Times New Roman" w:hAnsi="Times New Roman" w:cs="Times New Roman"/>
          <w:color w:val="000000"/>
          <w:sz w:val="24"/>
          <w:szCs w:val="24"/>
          <w:highlight w:val="white"/>
        </w:rPr>
        <w:t xml:space="preserve"> și atingerea obiectivelor acesteia</w:t>
      </w:r>
      <w:r>
        <w:rPr>
          <w:rFonts w:ascii="Times New Roman" w:eastAsia="Times New Roman" w:hAnsi="Times New Roman" w:cs="Times New Roman"/>
          <w:sz w:val="24"/>
          <w:szCs w:val="24"/>
          <w:highlight w:val="white"/>
        </w:rPr>
        <w:t xml:space="preserve"> este direct dependentă de capacitatea structurilor responsabile de implementare și abilitatea acestora de a de se racorda la noi realități sociale, economice sau administrative. </w:t>
      </w:r>
    </w:p>
    <w:p w14:paraId="297F7D22" w14:textId="77777777" w:rsidR="00485A97" w:rsidRDefault="00485A97">
      <w:pPr>
        <w:spacing w:after="0" w:line="240" w:lineRule="auto"/>
        <w:jc w:val="both"/>
        <w:rPr>
          <w:rFonts w:ascii="Times New Roman" w:eastAsia="Times New Roman" w:hAnsi="Times New Roman" w:cs="Times New Roman"/>
          <w:sz w:val="24"/>
          <w:szCs w:val="24"/>
          <w:highlight w:val="white"/>
        </w:rPr>
      </w:pPr>
    </w:p>
    <w:p w14:paraId="1AF0568C" w14:textId="1118A765" w:rsidR="00485A97" w:rsidRDefault="00976C54">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Documentul, în sine abordează riscurile prin abordarea verticală în primă instanță care vine să creeze </w:t>
      </w:r>
      <w:r w:rsidRPr="009352D1">
        <w:rPr>
          <w:rFonts w:ascii="Times New Roman" w:eastAsia="Times New Roman" w:hAnsi="Times New Roman" w:cs="Times New Roman"/>
          <w:sz w:val="24"/>
          <w:szCs w:val="24"/>
          <w:highlight w:val="white"/>
        </w:rPr>
        <w:t>o birocrație puternică</w:t>
      </w:r>
      <w:r>
        <w:rPr>
          <w:rFonts w:ascii="Times New Roman" w:eastAsia="Times New Roman" w:hAnsi="Times New Roman" w:cs="Times New Roman"/>
          <w:sz w:val="24"/>
          <w:szCs w:val="24"/>
          <w:highlight w:val="white"/>
        </w:rPr>
        <w:t>, dar flexibilă cu instituții sustenabile și suficient de pregătite pentru a racorda</w:t>
      </w:r>
      <w:r w:rsidR="005F6327">
        <w:rPr>
          <w:rFonts w:ascii="Times New Roman" w:eastAsia="Times New Roman" w:hAnsi="Times New Roman" w:cs="Times New Roman"/>
          <w:sz w:val="24"/>
          <w:szCs w:val="24"/>
          <w:highlight w:val="white"/>
        </w:rPr>
        <w:t xml:space="preserve"> la necesitățile piețe</w:t>
      </w:r>
      <w:r>
        <w:rPr>
          <w:rFonts w:ascii="Times New Roman" w:eastAsia="Times New Roman" w:hAnsi="Times New Roman" w:cs="Times New Roman"/>
          <w:sz w:val="24"/>
          <w:szCs w:val="24"/>
          <w:highlight w:val="white"/>
        </w:rPr>
        <w:t xml:space="preserve">i. Intervențiile planificate, în complexitatea și complementaritatea lor contribuie la atingerea impactului scontat, iar lipsa unui element poate afecta întregul rezultat. Totuși, Strategia este concepută pentru a fi modulară, or creșterea gradului de ambiție este transpus în setarea unor noi ținte mai mult decât în revizuirea obiectivelor și intervențiilor. </w:t>
      </w:r>
    </w:p>
    <w:p w14:paraId="1135007E" w14:textId="77777777" w:rsidR="00485A97" w:rsidRDefault="00976C54">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highlight w:val="white"/>
        </w:rPr>
        <w:lastRenderedPageBreak/>
        <w:t>Fluxul constant ridicat de personal în instituțiile și organizațiile cu atribuții în domeniul de tineret</w:t>
      </w:r>
    </w:p>
    <w:p w14:paraId="3960AE20" w14:textId="77777777" w:rsidR="00485A97" w:rsidRDefault="00976C54">
      <w:pPr>
        <w:spacing w:before="240"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Atractivitatea activității în cadrul sectorului de tineret sau în cadrul instituțiilor orientate spre tineri este scăzută din cauza gradului de salarizare scăzut pentru personalul angajat. Acest fapt creează un flux constant pe fiecare personal angajat, care necesită mereu capacitare și instruire, devenind o intervenție sisifică. Strategia abordează acest risc prin instrumente de stimulare a personalului angajat, creșterea gradului de salarizare și a atractivității domeniului prin introducerea calificărilor și profesionalizărilor. Prezentele intervenții vor contribui la asigurarea unui stabilități și competitivități în sector. Totuși, elementul de instruire continuă este unul prezent în Strategie.</w:t>
      </w:r>
    </w:p>
    <w:p w14:paraId="4D04DEFC" w14:textId="77777777" w:rsidR="00485A97" w:rsidRDefault="00976C54">
      <w:pPr>
        <w:spacing w:before="240"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Capacitatea redusă în procesul de coordonare şi monitorizare a implementării </w:t>
      </w:r>
      <w:r>
        <w:rPr>
          <w:rFonts w:ascii="Times New Roman" w:eastAsia="Times New Roman" w:hAnsi="Times New Roman" w:cs="Times New Roman"/>
          <w:b/>
          <w:sz w:val="24"/>
          <w:szCs w:val="24"/>
          <w:highlight w:val="white"/>
        </w:rPr>
        <w:t>documentelor de politici</w:t>
      </w:r>
    </w:p>
    <w:p w14:paraId="4EEB4FD3"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Viziunea națională setată în documentul de politici necesită a fi asumată de către actorii cheie la nivel local și transpusă în planuri de acțiune locale care urmăresc scopurile și obiectivele naționale. Asumarea responsabilității multiplicării viziunii naționale la nivel local constituie una din cheile succesului nu doar acoperirii geografice, dar și a coeziunii sociale. Documentul abordează riscul dat prin crearea unei oferte complexe de suport financiar, material, metodologic și informațional pentru instituțiile responsabile local pentru a crește capacitatea și atractivitatea transpunerii viziunii naționale. Oferta include instrumente de coordonare locală, regională și națională asupra rezultatelor înregistrate și provocărilor în realizarea acestora. </w:t>
      </w:r>
    </w:p>
    <w:p w14:paraId="3462292B" w14:textId="77777777" w:rsidR="00485A97" w:rsidRDefault="00976C54">
      <w:pPr>
        <w:spacing w:before="240"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Insuficiența mijloacelor financiare necesare implementări</w:t>
      </w:r>
      <w:r>
        <w:rPr>
          <w:rFonts w:ascii="Times New Roman" w:eastAsia="Times New Roman" w:hAnsi="Times New Roman" w:cs="Times New Roman"/>
          <w:b/>
          <w:sz w:val="24"/>
          <w:szCs w:val="24"/>
          <w:highlight w:val="white"/>
        </w:rPr>
        <w:t xml:space="preserve">i </w:t>
      </w:r>
    </w:p>
    <w:p w14:paraId="34D23675"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Mijloacele financiare pentru implementarea documentelor strategice sunt principalul obstacol în atingerea rezultatelor și impactului scontat. Documentul este pe de o parte conceput pentru a fi asumat complet de Guvern, fără a pune la baza planificării bugetare resursele externe, pentru a crea sustenabilitate și asumare, pe de altă parte este unul modular, care, chiar dacă comunică între intervențiile setate nu sunt total interdependente decât la un nivel superior de realizare.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La nivel inferior, Strategia este transpusă în activități ușor măsurabile și estimabile din punct de vedere a costurilor. Perioada de implementare și o costificare calitativă a programelor de implementare va asigura o reziliență în fața șocurilor economice și dependenței față de donatorii externi.</w:t>
      </w:r>
    </w:p>
    <w:p w14:paraId="7F7FE630" w14:textId="7667F176"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Lipsa de coeziune între autoritățile centrale, locale, sectorul privat și civic</w:t>
      </w:r>
      <w:r>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poate duce la distorsionarea esențială a proceselor de implementare a măsurilor din </w:t>
      </w:r>
      <w:r>
        <w:rPr>
          <w:rFonts w:ascii="Times New Roman" w:eastAsia="Times New Roman" w:hAnsi="Times New Roman" w:cs="Times New Roman"/>
          <w:sz w:val="24"/>
          <w:szCs w:val="24"/>
          <w:highlight w:val="white"/>
        </w:rPr>
        <w:t>Strategie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Componenta de participare civică și în procesele decizionale a tinerilor din cadrul Strategiei abordează acest risc prin crearea instrumentarului necesar de comunicare între actori, pentru a evita suprapunerile și spațiile goale în intervenții. Conceptul de co-management promovat presupune identificare punctelor comune între sectoare și centrarea pe punctele tari.</w:t>
      </w:r>
    </w:p>
    <w:p w14:paraId="68AECEC6" w14:textId="77777777" w:rsidR="00485A97" w:rsidRDefault="00976C54">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Sectorul de tineret </w:t>
      </w:r>
      <w:r>
        <w:rPr>
          <w:rFonts w:ascii="Times New Roman" w:eastAsia="Times New Roman" w:hAnsi="Times New Roman" w:cs="Times New Roman"/>
          <w:b/>
          <w:sz w:val="24"/>
          <w:szCs w:val="24"/>
        </w:rPr>
        <w:t>nu are o recunoaștere și apreciere suficientă</w:t>
      </w:r>
      <w:r>
        <w:rPr>
          <w:rFonts w:ascii="Times New Roman" w:eastAsia="Times New Roman" w:hAnsi="Times New Roman" w:cs="Times New Roman"/>
          <w:color w:val="000000"/>
          <w:sz w:val="24"/>
          <w:szCs w:val="24"/>
        </w:rPr>
        <w:t xml:space="preserve">.  </w:t>
      </w:r>
    </w:p>
    <w:p w14:paraId="153F6E34" w14:textId="77777777" w:rsidR="00485A97" w:rsidRDefault="00976C54">
      <w:pPr>
        <w:spacing w:before="240"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Lipsa de recunoaștere sau înțelegere a sectorului de tineret conduce direct la responsabilitatea redusă a actorilor vizați în implementarea documentului. Strategia setează drept obiectiv crearea unui ecosistem de tineret format din instituții și resurse umane. Documentul abordează acest risc prin campanii sistemice de informare, mobilizare și promovare care vor contribui la creșterea gradului de înțelegere și la sensibilizarea populației și instituțiilor. </w:t>
      </w:r>
    </w:p>
    <w:p w14:paraId="1CBE776E" w14:textId="77777777" w:rsidR="005F6327" w:rsidRDefault="005F6327">
      <w:pPr>
        <w:spacing w:before="240" w:after="0" w:line="240" w:lineRule="auto"/>
        <w:jc w:val="both"/>
        <w:rPr>
          <w:rFonts w:ascii="Times New Roman" w:eastAsia="Times New Roman" w:hAnsi="Times New Roman" w:cs="Times New Roman"/>
          <w:b/>
          <w:sz w:val="24"/>
          <w:szCs w:val="24"/>
          <w:highlight w:val="white"/>
        </w:rPr>
      </w:pPr>
    </w:p>
    <w:p w14:paraId="3D73866D" w14:textId="77777777" w:rsidR="00485A97" w:rsidRDefault="00976C54">
      <w:pPr>
        <w:spacing w:before="240"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Lipsa unei stabilități politice</w:t>
      </w:r>
    </w:p>
    <w:p w14:paraId="13F8CCA8" w14:textId="77777777" w:rsidR="00485A97" w:rsidRDefault="00976C54">
      <w:pPr>
        <w:spacing w:before="240"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Incertitudinea politică, conduce deseori la schimbul frecvent de factori decizionali și de reformări sistemice ale autorităților și instituțiilor publice. Diminuarea riscului în cadrul documentului este abordat prin crearea unei culturi instituționale și promovarea unei verticale comune a valorilor în rândul tinerilor și în societate în general.</w:t>
      </w:r>
    </w:p>
    <w:p w14:paraId="4AD00054" w14:textId="77777777" w:rsidR="00485A97" w:rsidRDefault="00976C54">
      <w:pPr>
        <w:spacing w:before="240"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Șocuri  sociale și economice</w:t>
      </w:r>
    </w:p>
    <w:p w14:paraId="28A9724E" w14:textId="77777777" w:rsidR="00485A97" w:rsidRDefault="00976C54">
      <w:pPr>
        <w:spacing w:before="240"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ultimii ani, Republica Moldova a fost puternic afectată de un șir de șocuri sociale, economice sau în sănătate, care au afectat inclusiv populația tânără. Strategia Tineret 2030, pune prioritate pe creșterea rezilienței tinerilor prin consolidarea deprinderilor de viață și competențelor necesare pentru a face față provocărilor deja sistematice. Creșterea rezilienței este și un efect al interconectării instituționale, care prin instrumente și mecanisme flexibile de intervenție va putea interveni pe segmentele necesare.</w:t>
      </w:r>
    </w:p>
    <w:p w14:paraId="0792E15F" w14:textId="77777777" w:rsidR="00485A97" w:rsidRDefault="00976C54">
      <w:pPr>
        <w:spacing w:before="240"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Inflație și instabilitate economică</w:t>
      </w:r>
    </w:p>
    <w:p w14:paraId="28DCB47B" w14:textId="77777777" w:rsidR="00485A97" w:rsidRDefault="00976C5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Modelul de abordare sistemică promovată în cadrul Strategiei, pune accent pe intervenții cu un cost redus, dar cu un impact sporit asupra sistemului de prestare a programelor dedicate tinerilor. Programul de implementare a Strategiei va lua în considerație prognozele inflaționiste generate de instituțiile abilitate și va fi revizuită periodic inclusiv pe componenta bugetară. De asemenea, politicile de tineret reprezintă un segment de interes pentru partenerii internaționali, resursele financiare suplimentare, fiind o sursă de acoperire pentru eventualele decalaje financiare. </w:t>
      </w:r>
    </w:p>
    <w:p w14:paraId="3604AAA6" w14:textId="77777777" w:rsidR="00485A97" w:rsidRDefault="00485A97">
      <w:pPr>
        <w:spacing w:after="0" w:line="240" w:lineRule="auto"/>
        <w:rPr>
          <w:rFonts w:ascii="Times New Roman" w:eastAsia="Times New Roman" w:hAnsi="Times New Roman" w:cs="Times New Roman"/>
          <w:sz w:val="24"/>
          <w:szCs w:val="24"/>
        </w:rPr>
      </w:pPr>
    </w:p>
    <w:p w14:paraId="6C138595" w14:textId="77777777" w:rsidR="00485A97" w:rsidRDefault="00976C5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RESPONSABILI ȘI PARTENERI</w:t>
      </w:r>
    </w:p>
    <w:p w14:paraId="43F898D1" w14:textId="77777777" w:rsidR="00485A97" w:rsidRDefault="00976C54">
      <w:pPr>
        <w:shd w:val="clear" w:color="auto" w:fill="FFFFFF"/>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0B7526"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Responsabil de procesul de implementare, monitorizare și evaluare a Strategiei Tineret 2030 este Ministerul Educației și </w:t>
      </w:r>
      <w:r>
        <w:rPr>
          <w:rFonts w:ascii="Times New Roman" w:eastAsia="Times New Roman" w:hAnsi="Times New Roman" w:cs="Times New Roman"/>
          <w:sz w:val="24"/>
          <w:szCs w:val="24"/>
        </w:rPr>
        <w:t xml:space="preserve">Cercetării și Agenția Națională pentru Dezvoltarea Programelor și Activității de Tineret, Ministerul Muncii și Protecției Sociale, </w:t>
      </w:r>
      <w:r w:rsidR="007F5306">
        <w:rPr>
          <w:rFonts w:ascii="Times New Roman" w:eastAsia="Times New Roman" w:hAnsi="Times New Roman" w:cs="Times New Roman"/>
          <w:sz w:val="24"/>
          <w:szCs w:val="24"/>
        </w:rPr>
        <w:t xml:space="preserve">Ministerul Sănătății, Ministerul Apărării, Ministerul Afacerilor Interne, </w:t>
      </w:r>
      <w:r>
        <w:rPr>
          <w:rFonts w:ascii="Times New Roman" w:eastAsia="Times New Roman" w:hAnsi="Times New Roman" w:cs="Times New Roman"/>
          <w:sz w:val="24"/>
          <w:szCs w:val="24"/>
        </w:rPr>
        <w:t>Ministerul Economiei și alte autorități centrale cu competențe în domeniu</w:t>
      </w:r>
      <w:r>
        <w:rPr>
          <w:rFonts w:ascii="Times New Roman" w:eastAsia="Times New Roman" w:hAnsi="Times New Roman" w:cs="Times New Roman"/>
          <w:color w:val="000000"/>
          <w:sz w:val="24"/>
          <w:szCs w:val="24"/>
        </w:rPr>
        <w:t>. În spiritul politicii de tineret și având la bază obiectivul fortificării societății civile, politica de tineret, care  se realizează prin intermediul parteneriatelor cu structurile  de tineret și tinerii. Autoritatea centrală competentă în domeniu va crea și asigura funcționalitatea platformelor de comunicare, colaborare și cooperare între toți actorii cu atribuții în realizarea Strategiei. Administrația publică locală va transpune viziunea și direcțiile de dezvoltare a politicii naționale în strategii, programe și planuri de acțiuni locale. </w:t>
      </w:r>
    </w:p>
    <w:p w14:paraId="599A09DF" w14:textId="77777777" w:rsidR="00485A97" w:rsidRDefault="00485A97">
      <w:pPr>
        <w:spacing w:after="0" w:line="240" w:lineRule="auto"/>
        <w:rPr>
          <w:rFonts w:ascii="Times New Roman" w:eastAsia="Times New Roman" w:hAnsi="Times New Roman" w:cs="Times New Roman"/>
          <w:sz w:val="24"/>
          <w:szCs w:val="24"/>
        </w:rPr>
      </w:pPr>
    </w:p>
    <w:p w14:paraId="05798C67" w14:textId="77777777" w:rsidR="00485A97" w:rsidRDefault="00485A97">
      <w:pPr>
        <w:shd w:val="clear" w:color="auto" w:fill="FFFFFF"/>
        <w:spacing w:after="0" w:line="240" w:lineRule="auto"/>
        <w:jc w:val="center"/>
        <w:rPr>
          <w:rFonts w:ascii="Times New Roman" w:eastAsia="Times New Roman" w:hAnsi="Times New Roman" w:cs="Times New Roman"/>
          <w:b/>
          <w:sz w:val="24"/>
          <w:szCs w:val="24"/>
        </w:rPr>
      </w:pPr>
    </w:p>
    <w:p w14:paraId="230BFD79" w14:textId="77777777" w:rsidR="00485A97" w:rsidRDefault="00976C5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PROCEDURI DE RAPORTARE</w:t>
      </w:r>
    </w:p>
    <w:p w14:paraId="1E07CB53" w14:textId="77777777" w:rsidR="00485A97" w:rsidRDefault="00485A97">
      <w:pPr>
        <w:spacing w:after="0" w:line="240" w:lineRule="auto"/>
        <w:rPr>
          <w:rFonts w:ascii="Times New Roman" w:eastAsia="Times New Roman" w:hAnsi="Times New Roman" w:cs="Times New Roman"/>
          <w:sz w:val="24"/>
          <w:szCs w:val="24"/>
        </w:rPr>
      </w:pPr>
    </w:p>
    <w:p w14:paraId="2C0FE3C1"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Strategia în sine propune drept obiectiv crearea unui sistem </w:t>
      </w:r>
      <w:r w:rsidR="007F5306">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colectare și analiză a datelor dezagregate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privind situația reală a tinerilor care va permite monitorizarea eficientă a rezultatelor intervențiilor realizate față de rezultatele scontate. </w:t>
      </w:r>
    </w:p>
    <w:p w14:paraId="78A12A38" w14:textId="77777777" w:rsidR="00485A97" w:rsidRDefault="00485A97">
      <w:pPr>
        <w:spacing w:after="0" w:line="240" w:lineRule="auto"/>
        <w:rPr>
          <w:rFonts w:ascii="Times New Roman" w:eastAsia="Times New Roman" w:hAnsi="Times New Roman" w:cs="Times New Roman"/>
          <w:sz w:val="24"/>
          <w:szCs w:val="24"/>
        </w:rPr>
      </w:pPr>
    </w:p>
    <w:p w14:paraId="59DD8EA5"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Monitorizarea implementării măsurilor incluse în Strategia ”Tineret 2030”,  presupune colectarea și centralizarea indicatorilor de rezultat, stabiliți pentru fiecare din măsurile aferente obiectivelor specifice ale Programul</w:t>
      </w:r>
      <w:r>
        <w:rPr>
          <w:rFonts w:ascii="Times New Roman" w:eastAsia="Times New Roman" w:hAnsi="Times New Roman" w:cs="Times New Roman"/>
          <w:sz w:val="24"/>
          <w:szCs w:val="24"/>
        </w:rPr>
        <w:t xml:space="preserve">ui de implementare și expuse în cadrul de rezultate  </w:t>
      </w:r>
      <w:r>
        <w:rPr>
          <w:rFonts w:ascii="Times New Roman" w:eastAsia="Times New Roman" w:hAnsi="Times New Roman" w:cs="Times New Roman"/>
          <w:color w:val="000000"/>
          <w:sz w:val="24"/>
          <w:szCs w:val="24"/>
        </w:rPr>
        <w:t xml:space="preserve">și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lanul de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cțiuni</w:t>
      </w:r>
      <w:r>
        <w:rPr>
          <w:rFonts w:ascii="Times New Roman" w:eastAsia="Times New Roman" w:hAnsi="Times New Roman" w:cs="Times New Roman"/>
          <w:sz w:val="24"/>
          <w:szCs w:val="24"/>
        </w:rPr>
        <w:t>.</w:t>
      </w:r>
    </w:p>
    <w:p w14:paraId="23B623CA" w14:textId="77777777" w:rsidR="00485A97" w:rsidRDefault="00485A97">
      <w:pPr>
        <w:spacing w:after="0" w:line="240" w:lineRule="auto"/>
        <w:rPr>
          <w:rFonts w:ascii="Times New Roman" w:eastAsia="Times New Roman" w:hAnsi="Times New Roman" w:cs="Times New Roman"/>
          <w:sz w:val="24"/>
          <w:szCs w:val="24"/>
        </w:rPr>
      </w:pPr>
    </w:p>
    <w:p w14:paraId="1D87B9AD" w14:textId="77777777" w:rsidR="00485A97" w:rsidRDefault="00976C54">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Ministerul Educației și Cercetării este principalul responsabil de asigurarea eficienței mecanismului de monitorizare şi evaluare a implementării Strategiei ”Tineret 2030”,  în vederea aplicării corecțiilor și ajustărilor în conformitate cu evoluția intervențiilor, dar și a cadrului legal național și internațional. Monitorizare</w:t>
      </w:r>
      <w:r>
        <w:rPr>
          <w:rFonts w:ascii="Times New Roman" w:eastAsia="Times New Roman" w:hAnsi="Times New Roman" w:cs="Times New Roman"/>
          <w:sz w:val="24"/>
          <w:szCs w:val="24"/>
        </w:rPr>
        <w:t xml:space="preserve">a procesului de implementare este un proces continuu. Anual se elaborează rapoarte de monitorizare în baza indicatorilor setați și acțiunilor planificate și se va genera un raport de progres privind implementarea Strategiei. </w:t>
      </w:r>
    </w:p>
    <w:p w14:paraId="7AEAEBA6" w14:textId="4E60A2E1"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Evaluarea intermediară a Strategiei Tineret 2030 se va realiza la finele anului 2026, odată cu finalizarea primului program de implementare. Responsabil de procesul de evaluare intermediară este Ministerul Educației și Cercetării. În scopul asigurării unei evaluări obiective, procesul de evaluare va fi </w:t>
      </w:r>
      <w:r w:rsidR="005F6327">
        <w:rPr>
          <w:rFonts w:ascii="Times New Roman" w:eastAsia="Times New Roman" w:hAnsi="Times New Roman" w:cs="Times New Roman"/>
          <w:sz w:val="24"/>
          <w:szCs w:val="24"/>
        </w:rPr>
        <w:t>unul extern</w:t>
      </w:r>
      <w:r>
        <w:rPr>
          <w:rFonts w:ascii="Times New Roman" w:eastAsia="Times New Roman" w:hAnsi="Times New Roman" w:cs="Times New Roman"/>
          <w:sz w:val="24"/>
          <w:szCs w:val="24"/>
        </w:rPr>
        <w:t xml:space="preserve"> și realizat cu participarea largă a actorilor vizați în document. </w:t>
      </w:r>
    </w:p>
    <w:p w14:paraId="215F3C4A" w14:textId="77777777" w:rsidR="00485A97" w:rsidRDefault="00485A97">
      <w:pPr>
        <w:spacing w:after="0" w:line="240" w:lineRule="auto"/>
        <w:rPr>
          <w:rFonts w:ascii="Times New Roman" w:eastAsia="Times New Roman" w:hAnsi="Times New Roman" w:cs="Times New Roman"/>
          <w:sz w:val="24"/>
          <w:szCs w:val="24"/>
        </w:rPr>
      </w:pPr>
    </w:p>
    <w:p w14:paraId="5D989575"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 încheierea perioadei aferente de implementare a  Strategiei se va realiza un raport final cu accent pe rezultatele obținute, gradul de îndeplinire a indicatorilor și factorii ce nu au permis realizarea tuturor obiectivelor, iar rezultatele acesteia, urmând să fie considerate în elaborarea </w:t>
      </w:r>
      <w:r>
        <w:rPr>
          <w:rFonts w:ascii="Times New Roman" w:eastAsia="Times New Roman" w:hAnsi="Times New Roman" w:cs="Times New Roman"/>
          <w:sz w:val="24"/>
          <w:szCs w:val="24"/>
        </w:rPr>
        <w:t xml:space="preserve">unui nou document de politici în domeniu. </w:t>
      </w:r>
    </w:p>
    <w:p w14:paraId="41AA9AA5" w14:textId="77777777" w:rsidR="00485A97" w:rsidRDefault="00485A97">
      <w:pPr>
        <w:spacing w:after="0" w:line="240" w:lineRule="auto"/>
        <w:rPr>
          <w:rFonts w:ascii="Times New Roman" w:eastAsia="Times New Roman" w:hAnsi="Times New Roman" w:cs="Times New Roman"/>
          <w:sz w:val="24"/>
          <w:szCs w:val="24"/>
        </w:rPr>
      </w:pPr>
    </w:p>
    <w:p w14:paraId="48FB906C"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Raportul de evaluare va fi elaborat în conformitate cu rigorile Hotărârii Guvernului nr. 386/2020 cu privire la planificarea, elaborarea, aprobarea, implementarea, monitorizarea și evaluarea documentelor de politici publice, având la bază Ghidul metodologic pentru evaluarea intermediară şi ex-post a politicilor publice al Cancelariei de Stat.</w:t>
      </w:r>
    </w:p>
    <w:p w14:paraId="75E048F6" w14:textId="77777777" w:rsidR="00485A97" w:rsidRDefault="00485A97">
      <w:pPr>
        <w:spacing w:after="0" w:line="240" w:lineRule="auto"/>
        <w:jc w:val="both"/>
        <w:rPr>
          <w:rFonts w:ascii="Times New Roman" w:eastAsia="Times New Roman" w:hAnsi="Times New Roman" w:cs="Times New Roman"/>
          <w:sz w:val="24"/>
          <w:szCs w:val="24"/>
        </w:rPr>
      </w:pPr>
    </w:p>
    <w:p w14:paraId="385BFB61" w14:textId="77777777" w:rsidR="00485A97" w:rsidRDefault="00976C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Atât rapoartele de progres cât și cel de evaluare finală vor fi consultate public și vor fi plasate pe paginile oficiale ale MEC.</w:t>
      </w:r>
    </w:p>
    <w:sectPr w:rsidR="00485A97">
      <w:footerReference w:type="default" r:id="rId23"/>
      <w:pgSz w:w="12240" w:h="15840"/>
      <w:pgMar w:top="1134" w:right="1134" w:bottom="1134"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1FBAF" w14:textId="77777777" w:rsidR="007971F2" w:rsidRDefault="007971F2">
      <w:pPr>
        <w:spacing w:after="0" w:line="240" w:lineRule="auto"/>
      </w:pPr>
      <w:r>
        <w:separator/>
      </w:r>
    </w:p>
  </w:endnote>
  <w:endnote w:type="continuationSeparator" w:id="0">
    <w:p w14:paraId="0717EA31" w14:textId="77777777" w:rsidR="007971F2" w:rsidRDefault="0079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0ACF" w14:textId="77777777" w:rsidR="00714E57" w:rsidRDefault="00714E57">
    <w:pPr>
      <w:pBdr>
        <w:top w:val="nil"/>
        <w:left w:val="nil"/>
        <w:bottom w:val="nil"/>
        <w:right w:val="nil"/>
        <w:between w:val="nil"/>
      </w:pBdr>
      <w:tabs>
        <w:tab w:val="center" w:pos="4844"/>
        <w:tab w:val="right" w:pos="9689"/>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2227B5">
      <w:rPr>
        <w:rFonts w:ascii="Times New Roman" w:eastAsia="Times New Roman" w:hAnsi="Times New Roman" w:cs="Times New Roman"/>
        <w:b/>
        <w:noProof/>
        <w:color w:val="000000"/>
      </w:rPr>
      <w:t>26</w:t>
    </w:r>
    <w:r>
      <w:rPr>
        <w:rFonts w:ascii="Times New Roman" w:eastAsia="Times New Roman" w:hAnsi="Times New Roman" w:cs="Times New Roman"/>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862D" w14:textId="77777777" w:rsidR="007971F2" w:rsidRDefault="007971F2">
      <w:pPr>
        <w:spacing w:after="0" w:line="240" w:lineRule="auto"/>
      </w:pPr>
      <w:r>
        <w:separator/>
      </w:r>
    </w:p>
  </w:footnote>
  <w:footnote w:type="continuationSeparator" w:id="0">
    <w:p w14:paraId="24055934" w14:textId="77777777" w:rsidR="007971F2" w:rsidRDefault="007971F2">
      <w:pPr>
        <w:spacing w:after="0" w:line="240" w:lineRule="auto"/>
      </w:pPr>
      <w:r>
        <w:continuationSeparator/>
      </w:r>
    </w:p>
  </w:footnote>
  <w:footnote w:id="1">
    <w:p w14:paraId="7FF8BB2D"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https://www.coe.int/en/web/youth/youth-strategy-2030</w:t>
        </w:r>
      </w:hyperlink>
      <w:r>
        <w:rPr>
          <w:rFonts w:ascii="Times New Roman" w:eastAsia="Times New Roman" w:hAnsi="Times New Roman" w:cs="Times New Roman"/>
          <w:sz w:val="20"/>
          <w:szCs w:val="20"/>
        </w:rPr>
        <w:t xml:space="preserve">  </w:t>
      </w:r>
    </w:p>
  </w:footnote>
  <w:footnote w:id="2">
    <w:p w14:paraId="043198CC"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https://data.consilium.europa.eu/doc/document/ST-13185-2020-INIT/en/pdf</w:t>
        </w:r>
      </w:hyperlink>
      <w:r>
        <w:rPr>
          <w:rFonts w:ascii="Times New Roman" w:eastAsia="Times New Roman" w:hAnsi="Times New Roman" w:cs="Times New Roman"/>
          <w:sz w:val="20"/>
          <w:szCs w:val="20"/>
        </w:rPr>
        <w:t xml:space="preserve"> </w:t>
      </w:r>
    </w:p>
  </w:footnote>
  <w:footnote w:id="3">
    <w:p w14:paraId="7DBF8FDD"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https://youth.europa.eu/strategy/european-youth-goals_en</w:t>
        </w:r>
      </w:hyperlink>
      <w:r>
        <w:rPr>
          <w:rFonts w:ascii="Times New Roman" w:eastAsia="Times New Roman" w:hAnsi="Times New Roman" w:cs="Times New Roman"/>
          <w:sz w:val="20"/>
          <w:szCs w:val="20"/>
        </w:rPr>
        <w:t xml:space="preserve"> </w:t>
      </w:r>
    </w:p>
  </w:footnote>
  <w:footnote w:id="4">
    <w:p w14:paraId="38FF159C"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https://eur-lex.europa.eu/legal-content/EN/TXT/PDF/?uri=CELEX:42018Y1218(01)&amp;qid=1578414694481&amp;from=EN</w:t>
        </w:r>
      </w:hyperlink>
      <w:r>
        <w:rPr>
          <w:rFonts w:ascii="Times New Roman" w:eastAsia="Times New Roman" w:hAnsi="Times New Roman" w:cs="Times New Roman"/>
          <w:sz w:val="20"/>
          <w:szCs w:val="20"/>
        </w:rPr>
        <w:t xml:space="preserve"> </w:t>
      </w:r>
    </w:p>
  </w:footnote>
  <w:footnote w:id="5">
    <w:p w14:paraId="2CECD31F"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5">
        <w:r>
          <w:rPr>
            <w:rFonts w:ascii="Times New Roman" w:eastAsia="Times New Roman" w:hAnsi="Times New Roman" w:cs="Times New Roman"/>
            <w:sz w:val="20"/>
            <w:szCs w:val="20"/>
          </w:rPr>
          <w:t>https://international-partnerships.ec.europa.eu/document/fe1bcd30-58da-4a37-ab2a-61848789da60_en?fbclid=IwAR0zLcbH9OpIc8yNjuoy4RHWWq9SVs8Csl4NED97lAdfV5AN43AaYC4sCCA</w:t>
        </w:r>
      </w:hyperlink>
      <w:r>
        <w:rPr>
          <w:rFonts w:ascii="Times New Roman" w:eastAsia="Times New Roman" w:hAnsi="Times New Roman" w:cs="Times New Roman"/>
          <w:sz w:val="20"/>
          <w:szCs w:val="20"/>
        </w:rPr>
        <w:t xml:space="preserve"> </w:t>
      </w:r>
    </w:p>
  </w:footnote>
  <w:footnote w:id="6">
    <w:p w14:paraId="146C10C0" w14:textId="77777777" w:rsidR="00714E57" w:rsidRDefault="00714E5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color w:val="1155CC"/>
            <w:sz w:val="20"/>
            <w:szCs w:val="20"/>
            <w:u w:val="single"/>
          </w:rPr>
          <w:t>https://gov.md/sites/default/files/document/attachments/programul_de_activitate_al_guvernului_moldova_vremurilor_bune.pdf</w:t>
        </w:r>
      </w:hyperlink>
      <w:r>
        <w:rPr>
          <w:rFonts w:ascii="Times New Roman" w:eastAsia="Times New Roman" w:hAnsi="Times New Roman" w:cs="Times New Roman"/>
          <w:sz w:val="20"/>
          <w:szCs w:val="20"/>
        </w:rPr>
        <w:t xml:space="preserve"> </w:t>
      </w:r>
    </w:p>
  </w:footnote>
  <w:footnote w:id="7">
    <w:p w14:paraId="10CB49FA" w14:textId="77777777" w:rsidR="00714E57" w:rsidRDefault="00714E5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hyperlink r:id="rId7">
        <w:r>
          <w:rPr>
            <w:rFonts w:ascii="Times New Roman" w:eastAsia="Times New Roman" w:hAnsi="Times New Roman" w:cs="Times New Roman"/>
            <w:color w:val="0563C1"/>
            <w:sz w:val="16"/>
            <w:szCs w:val="16"/>
            <w:u w:val="single"/>
          </w:rPr>
          <w:t>Dezvoltarea sectorului asociativ de tineret</w:t>
        </w:r>
      </w:hyperlink>
      <w:r>
        <w:rPr>
          <w:rFonts w:ascii="Times New Roman" w:eastAsia="Times New Roman" w:hAnsi="Times New Roman" w:cs="Times New Roman"/>
          <w:color w:val="000000"/>
          <w:sz w:val="16"/>
          <w:szCs w:val="16"/>
        </w:rPr>
        <w:t>, CNTM și IDIS ”Viitorul”, 2019</w:t>
      </w:r>
    </w:p>
  </w:footnote>
  <w:footnote w:id="8">
    <w:p w14:paraId="61E1C672" w14:textId="77777777" w:rsidR="00714E57" w:rsidRDefault="00714E5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Analiza comprehensivă a sectorului de tineret, 2019</w:t>
      </w:r>
    </w:p>
  </w:footnote>
  <w:footnote w:id="9">
    <w:p w14:paraId="2D870052" w14:textId="77777777" w:rsidR="00714E57" w:rsidRDefault="00714E5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hyperlink r:id="rId8">
        <w:r>
          <w:rPr>
            <w:rFonts w:ascii="Times New Roman" w:eastAsia="Times New Roman" w:hAnsi="Times New Roman" w:cs="Times New Roman"/>
            <w:color w:val="0563C1"/>
            <w:sz w:val="16"/>
            <w:szCs w:val="16"/>
            <w:u w:val="single"/>
          </w:rPr>
          <w:t>https://www.oecd.org/countries/moldova/Report_Young_Moldova_Problems_Values_and_Aspirations.pdf</w:t>
        </w:r>
      </w:hyperlink>
      <w:r>
        <w:rPr>
          <w:rFonts w:ascii="Times New Roman" w:eastAsia="Times New Roman" w:hAnsi="Times New Roman" w:cs="Times New Roman"/>
          <w:color w:val="000000"/>
          <w:sz w:val="16"/>
          <w:szCs w:val="16"/>
        </w:rPr>
        <w:t>, OECD, 2016</w:t>
      </w:r>
    </w:p>
  </w:footnote>
  <w:footnote w:id="10">
    <w:p w14:paraId="2F241BC3" w14:textId="77777777" w:rsidR="00714E57" w:rsidRDefault="00714E5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COVID 19 și Tinerii: Cum a influențat pandemia participarea tinerilor, </w:t>
      </w:r>
      <w:hyperlink r:id="rId9">
        <w:r>
          <w:rPr>
            <w:rFonts w:ascii="Times New Roman" w:eastAsia="Times New Roman" w:hAnsi="Times New Roman" w:cs="Times New Roman"/>
            <w:color w:val="0563C1"/>
            <w:sz w:val="16"/>
            <w:szCs w:val="16"/>
            <w:u w:val="single"/>
          </w:rPr>
          <w:t>http://progen.md/files/9352_covid_19_impactul_participarea.pdf</w:t>
        </w:r>
      </w:hyperlink>
    </w:p>
  </w:footnote>
  <w:footnote w:id="11">
    <w:p w14:paraId="1749D6BE" w14:textId="77777777" w:rsidR="00714E57" w:rsidRDefault="00714E5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hyperlink r:id="rId10">
        <w:r>
          <w:rPr>
            <w:rFonts w:ascii="Times New Roman" w:eastAsia="Times New Roman" w:hAnsi="Times New Roman" w:cs="Times New Roman"/>
            <w:color w:val="0563C1"/>
            <w:sz w:val="16"/>
            <w:szCs w:val="16"/>
            <w:u w:val="single"/>
          </w:rPr>
          <w:t>https://moldova.unfpa.org/en/node/51648</w:t>
        </w:r>
      </w:hyperlink>
      <w:r>
        <w:rPr>
          <w:rFonts w:ascii="Times New Roman" w:eastAsia="Times New Roman" w:hAnsi="Times New Roman" w:cs="Times New Roman"/>
          <w:color w:val="0563C1"/>
          <w:sz w:val="16"/>
          <w:szCs w:val="16"/>
        </w:rPr>
        <w:t xml:space="preserve">,  </w:t>
      </w:r>
      <w:hyperlink r:id="rId11">
        <w:r>
          <w:rPr>
            <w:rFonts w:ascii="Times New Roman" w:eastAsia="Times New Roman" w:hAnsi="Times New Roman" w:cs="Times New Roman"/>
            <w:color w:val="0563C1"/>
            <w:sz w:val="16"/>
            <w:szCs w:val="16"/>
            <w:u w:val="single"/>
          </w:rPr>
          <w:t>https://www.youtube.com/watch?v=HHcqRufwz7U</w:t>
        </w:r>
      </w:hyperlink>
      <w:r>
        <w:rPr>
          <w:rFonts w:ascii="Times New Roman" w:eastAsia="Times New Roman" w:hAnsi="Times New Roman" w:cs="Times New Roman"/>
          <w:color w:val="0563C1"/>
          <w:sz w:val="16"/>
          <w:szCs w:val="16"/>
          <w:u w:val="single"/>
        </w:rPr>
        <w:t xml:space="preserve"> </w:t>
      </w:r>
    </w:p>
  </w:footnote>
  <w:footnote w:id="12">
    <w:p w14:paraId="06BFF4C5" w14:textId="77777777" w:rsidR="00714E57" w:rsidRDefault="00714E57">
      <w:pPr>
        <w:spacing w:after="0"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La baza calculării valorii pentru acest domeniu au stat doi indicatori: (i) ponderea tinerilor/adulţilor în totalul consilierilor locali şi (ii) ponderea tinerilor/adulţilor care au participat la vot (alegeri locale). </w:t>
      </w:r>
    </w:p>
  </w:footnote>
  <w:footnote w:id="13">
    <w:p w14:paraId="0D1DD075" w14:textId="77777777" w:rsidR="00714E57" w:rsidRDefault="00714E57">
      <w:pPr>
        <w:pBdr>
          <w:top w:val="nil"/>
          <w:left w:val="nil"/>
          <w:bottom w:val="nil"/>
          <w:right w:val="nil"/>
          <w:between w:val="nil"/>
        </w:pBdr>
        <w:spacing w:after="0"/>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COVID 19 și Tinerii: Cum a influențat pandemia participarea tinerilor, </w:t>
      </w:r>
      <w:hyperlink r:id="rId12">
        <w:r>
          <w:rPr>
            <w:rFonts w:ascii="Times New Roman" w:eastAsia="Times New Roman" w:hAnsi="Times New Roman" w:cs="Times New Roman"/>
            <w:color w:val="0563C1"/>
            <w:sz w:val="16"/>
            <w:szCs w:val="16"/>
            <w:u w:val="single"/>
          </w:rPr>
          <w:t>http://progen.md/files/9352_covid_19_impactul_participarea.pdf</w:t>
        </w:r>
      </w:hyperlink>
      <w:r>
        <w:rPr>
          <w:rFonts w:ascii="Times New Roman" w:eastAsia="Times New Roman" w:hAnsi="Times New Roman" w:cs="Times New Roman"/>
          <w:color w:val="000000"/>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6A7"/>
    <w:multiLevelType w:val="multilevel"/>
    <w:tmpl w:val="12F45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BA2DC0"/>
    <w:multiLevelType w:val="multilevel"/>
    <w:tmpl w:val="A1B4E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0D3B96"/>
    <w:multiLevelType w:val="multilevel"/>
    <w:tmpl w:val="481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F4B3F20"/>
    <w:multiLevelType w:val="multilevel"/>
    <w:tmpl w:val="00FE4B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F5E0245"/>
    <w:multiLevelType w:val="multilevel"/>
    <w:tmpl w:val="6838B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F046CD7"/>
    <w:multiLevelType w:val="multilevel"/>
    <w:tmpl w:val="7F1CBA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1B16747"/>
    <w:multiLevelType w:val="multilevel"/>
    <w:tmpl w:val="A9629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DE851A4"/>
    <w:multiLevelType w:val="multilevel"/>
    <w:tmpl w:val="876CB61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nsid w:val="687774F9"/>
    <w:multiLevelType w:val="multilevel"/>
    <w:tmpl w:val="A410A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50E61A9"/>
    <w:multiLevelType w:val="multilevel"/>
    <w:tmpl w:val="DE1EA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6846BFB"/>
    <w:multiLevelType w:val="multilevel"/>
    <w:tmpl w:val="A9E08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EB4151E"/>
    <w:multiLevelType w:val="multilevel"/>
    <w:tmpl w:val="B536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0"/>
  </w:num>
  <w:num w:numId="3">
    <w:abstractNumId w:val="7"/>
  </w:num>
  <w:num w:numId="4">
    <w:abstractNumId w:val="4"/>
  </w:num>
  <w:num w:numId="5">
    <w:abstractNumId w:val="11"/>
  </w:num>
  <w:num w:numId="6">
    <w:abstractNumId w:val="1"/>
  </w:num>
  <w:num w:numId="7">
    <w:abstractNumId w:val="0"/>
  </w:num>
  <w:num w:numId="8">
    <w:abstractNumId w:val="8"/>
  </w:num>
  <w:num w:numId="9">
    <w:abstractNumId w:val="5"/>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97"/>
    <w:rsid w:val="00110C14"/>
    <w:rsid w:val="002227B5"/>
    <w:rsid w:val="00364F5F"/>
    <w:rsid w:val="00485A97"/>
    <w:rsid w:val="004E4CD7"/>
    <w:rsid w:val="0050158C"/>
    <w:rsid w:val="005F6327"/>
    <w:rsid w:val="00714E57"/>
    <w:rsid w:val="007971F2"/>
    <w:rsid w:val="007B0B4F"/>
    <w:rsid w:val="007F5306"/>
    <w:rsid w:val="009352D1"/>
    <w:rsid w:val="00976C54"/>
    <w:rsid w:val="009A039E"/>
    <w:rsid w:val="00A27963"/>
    <w:rsid w:val="00AE28AC"/>
    <w:rsid w:val="00B22BF7"/>
    <w:rsid w:val="00B90225"/>
    <w:rsid w:val="00C7694A"/>
    <w:rsid w:val="00DA3A88"/>
    <w:rsid w:val="00DC0E71"/>
    <w:rsid w:val="00F2786B"/>
    <w:rsid w:val="00F90DFB"/>
    <w:rsid w:val="00FF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8FCF"/>
  <w15:docId w15:val="{AA6FCCEC-E841-41DA-BDBE-43528DA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E77F7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125B32"/>
    <w:pPr>
      <w:ind w:left="720"/>
      <w:contextualSpacing/>
    </w:pPr>
  </w:style>
  <w:style w:type="paragraph" w:styleId="a5">
    <w:name w:val="Normal (Web)"/>
    <w:basedOn w:val="a"/>
    <w:uiPriority w:val="99"/>
    <w:semiHidden/>
    <w:unhideWhenUsed/>
    <w:rsid w:val="00AC70A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otnote reference"/>
    <w:basedOn w:val="a0"/>
    <w:uiPriority w:val="99"/>
    <w:semiHidden/>
    <w:unhideWhenUsed/>
    <w:rsid w:val="00A03FE5"/>
    <w:rPr>
      <w:vertAlign w:val="superscript"/>
    </w:rPr>
  </w:style>
  <w:style w:type="character" w:styleId="a7">
    <w:name w:val="Hyperlink"/>
    <w:basedOn w:val="a0"/>
    <w:uiPriority w:val="99"/>
    <w:unhideWhenUsed/>
    <w:rsid w:val="003C2137"/>
    <w:rPr>
      <w:color w:val="0563C1" w:themeColor="hyperlink"/>
      <w:u w:val="single"/>
    </w:rPr>
  </w:style>
  <w:style w:type="paragraph" w:styleId="a8">
    <w:name w:val="footnote text"/>
    <w:basedOn w:val="a"/>
    <w:link w:val="a9"/>
    <w:uiPriority w:val="99"/>
    <w:semiHidden/>
    <w:unhideWhenUsed/>
    <w:rsid w:val="00A12787"/>
    <w:pPr>
      <w:spacing w:after="0" w:line="240" w:lineRule="auto"/>
    </w:pPr>
    <w:rPr>
      <w:sz w:val="20"/>
      <w:szCs w:val="20"/>
    </w:rPr>
  </w:style>
  <w:style w:type="character" w:customStyle="1" w:styleId="a9">
    <w:name w:val="Текст сноски Знак"/>
    <w:basedOn w:val="a0"/>
    <w:link w:val="a8"/>
    <w:uiPriority w:val="99"/>
    <w:semiHidden/>
    <w:rsid w:val="00A12787"/>
    <w:rPr>
      <w:sz w:val="20"/>
      <w:szCs w:val="20"/>
    </w:rPr>
  </w:style>
  <w:style w:type="character" w:customStyle="1" w:styleId="UnresolvedMention">
    <w:name w:val="Unresolved Mention"/>
    <w:basedOn w:val="a0"/>
    <w:uiPriority w:val="99"/>
    <w:semiHidden/>
    <w:unhideWhenUsed/>
    <w:rsid w:val="00A12787"/>
    <w:rPr>
      <w:color w:val="605E5C"/>
      <w:shd w:val="clear" w:color="auto" w:fill="E1DFDD"/>
    </w:rPr>
  </w:style>
  <w:style w:type="paragraph" w:styleId="aa">
    <w:name w:val="annotation text"/>
    <w:basedOn w:val="a"/>
    <w:link w:val="ab"/>
    <w:uiPriority w:val="99"/>
    <w:unhideWhenUsed/>
    <w:rsid w:val="009C65EF"/>
    <w:pPr>
      <w:spacing w:line="240" w:lineRule="auto"/>
    </w:pPr>
    <w:rPr>
      <w:sz w:val="20"/>
      <w:szCs w:val="20"/>
      <w:lang w:val="ru-RU"/>
    </w:rPr>
  </w:style>
  <w:style w:type="character" w:customStyle="1" w:styleId="ab">
    <w:name w:val="Текст примечания Знак"/>
    <w:basedOn w:val="a0"/>
    <w:link w:val="aa"/>
    <w:uiPriority w:val="99"/>
    <w:rsid w:val="009C65EF"/>
    <w:rPr>
      <w:sz w:val="20"/>
      <w:szCs w:val="20"/>
      <w:lang w:val="ru-RU"/>
    </w:rPr>
  </w:style>
  <w:style w:type="paragraph" w:styleId="ac">
    <w:name w:val="header"/>
    <w:basedOn w:val="a"/>
    <w:link w:val="ad"/>
    <w:uiPriority w:val="99"/>
    <w:unhideWhenUsed/>
    <w:rsid w:val="00330A31"/>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330A31"/>
  </w:style>
  <w:style w:type="paragraph" w:styleId="ae">
    <w:name w:val="footer"/>
    <w:basedOn w:val="a"/>
    <w:link w:val="af"/>
    <w:uiPriority w:val="99"/>
    <w:unhideWhenUsed/>
    <w:rsid w:val="00330A31"/>
    <w:pPr>
      <w:tabs>
        <w:tab w:val="center" w:pos="4844"/>
        <w:tab w:val="right" w:pos="9689"/>
      </w:tabs>
      <w:spacing w:after="0" w:line="240" w:lineRule="auto"/>
    </w:pPr>
  </w:style>
  <w:style w:type="character" w:customStyle="1" w:styleId="af">
    <w:name w:val="Нижний колонтитул Знак"/>
    <w:basedOn w:val="a0"/>
    <w:link w:val="ae"/>
    <w:uiPriority w:val="99"/>
    <w:rsid w:val="00330A31"/>
  </w:style>
  <w:style w:type="character" w:customStyle="1" w:styleId="apple-tab-span">
    <w:name w:val="apple-tab-span"/>
    <w:basedOn w:val="a0"/>
    <w:rsid w:val="00F7113F"/>
  </w:style>
  <w:style w:type="paragraph" w:styleId="af0">
    <w:name w:val="Balloon Text"/>
    <w:basedOn w:val="a"/>
    <w:link w:val="af1"/>
    <w:uiPriority w:val="99"/>
    <w:semiHidden/>
    <w:unhideWhenUsed/>
    <w:rsid w:val="00F7113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7113F"/>
    <w:rPr>
      <w:rFonts w:ascii="Segoe UI" w:hAnsi="Segoe UI" w:cs="Segoe UI"/>
      <w:sz w:val="18"/>
      <w:szCs w:val="18"/>
    </w:rPr>
  </w:style>
  <w:style w:type="character" w:styleId="af2">
    <w:name w:val="annotation reference"/>
    <w:basedOn w:val="a0"/>
    <w:uiPriority w:val="99"/>
    <w:semiHidden/>
    <w:unhideWhenUsed/>
    <w:rsid w:val="00F7113F"/>
    <w:rPr>
      <w:sz w:val="16"/>
      <w:szCs w:val="16"/>
    </w:rPr>
  </w:style>
  <w:style w:type="paragraph" w:styleId="af3">
    <w:name w:val="annotation subject"/>
    <w:basedOn w:val="aa"/>
    <w:next w:val="aa"/>
    <w:link w:val="af4"/>
    <w:uiPriority w:val="99"/>
    <w:semiHidden/>
    <w:unhideWhenUsed/>
    <w:rsid w:val="00F7113F"/>
    <w:rPr>
      <w:b/>
      <w:bCs/>
      <w:lang w:val="en-US"/>
    </w:rPr>
  </w:style>
  <w:style w:type="character" w:customStyle="1" w:styleId="af4">
    <w:name w:val="Тема примечания Знак"/>
    <w:basedOn w:val="ab"/>
    <w:link w:val="af3"/>
    <w:uiPriority w:val="99"/>
    <w:semiHidden/>
    <w:rsid w:val="00F7113F"/>
    <w:rPr>
      <w:b/>
      <w:bCs/>
      <w:sz w:val="20"/>
      <w:szCs w:val="20"/>
      <w:lang w:val="ru-RU"/>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0" w:type="dxa"/>
        <w:left w:w="115" w:type="dxa"/>
        <w:bottom w:w="0" w:type="dxa"/>
        <w:right w:w="115" w:type="dxa"/>
      </w:tblCellMar>
    </w:tblPr>
  </w:style>
  <w:style w:type="paragraph" w:styleId="afa">
    <w:name w:val="No Spacing"/>
    <w:link w:val="afb"/>
    <w:uiPriority w:val="1"/>
    <w:qFormat/>
    <w:rsid w:val="00E77F75"/>
    <w:pPr>
      <w:spacing w:after="0" w:line="240" w:lineRule="auto"/>
    </w:pPr>
    <w:rPr>
      <w:rFonts w:asciiTheme="minorHAnsi" w:eastAsiaTheme="minorEastAsia" w:hAnsiTheme="minorHAnsi" w:cstheme="minorBidi"/>
      <w:lang w:val="en-US"/>
    </w:rPr>
  </w:style>
  <w:style w:type="character" w:customStyle="1" w:styleId="afb">
    <w:name w:val="Без интервала Знак"/>
    <w:basedOn w:val="a0"/>
    <w:link w:val="afa"/>
    <w:uiPriority w:val="1"/>
    <w:rsid w:val="00E77F75"/>
    <w:rPr>
      <w:rFonts w:asciiTheme="minorHAnsi" w:eastAsiaTheme="minorEastAsia" w:hAnsiTheme="minorHAnsi" w:cstheme="minorBidi"/>
      <w:lang w:val="en-US"/>
    </w:rPr>
  </w:style>
  <w:style w:type="character" w:customStyle="1" w:styleId="80">
    <w:name w:val="Заголовок 8 Знак"/>
    <w:basedOn w:val="a0"/>
    <w:link w:val="8"/>
    <w:uiPriority w:val="9"/>
    <w:semiHidden/>
    <w:rsid w:val="00E77F75"/>
    <w:rPr>
      <w:rFonts w:asciiTheme="majorHAnsi" w:eastAsiaTheme="majorEastAsia" w:hAnsiTheme="majorHAnsi" w:cstheme="majorBidi"/>
      <w:color w:val="272727" w:themeColor="text1" w:themeTint="D8"/>
      <w:sz w:val="21"/>
      <w:szCs w:val="21"/>
    </w:rPr>
  </w:style>
  <w:style w:type="table" w:styleId="afc">
    <w:name w:val="Table Grid"/>
    <w:basedOn w:val="a1"/>
    <w:uiPriority w:val="39"/>
    <w:rsid w:val="00533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0" w:type="dxa"/>
        <w:bottom w:w="0" w:type="dxa"/>
        <w:right w:w="0" w:type="dxa"/>
      </w:tblCellMar>
    </w:tblPr>
  </w:style>
  <w:style w:type="table" w:customStyle="1" w:styleId="af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hyperlink" Target="https://progen.md/wp-content/uploads/2020/12/9352_covid_19_impactul_participarea.pdf"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untries/moldova/Report_Young_Moldova_Problems_Values_and_Aspirations.pdf" TargetMode="External"/><Relationship Id="rId3" Type="http://schemas.openxmlformats.org/officeDocument/2006/relationships/hyperlink" Target="https://youth.europa.eu/strategy/european-youth-goals_en" TargetMode="External"/><Relationship Id="rId7" Type="http://schemas.openxmlformats.org/officeDocument/2006/relationships/hyperlink" Target="http://viitorul.org/files/library/DEZVOLTAREA%20SECTORULUI%20ASOCIATIV%20DE%20TINERET%20web_0.pdf" TargetMode="External"/><Relationship Id="rId12" Type="http://schemas.openxmlformats.org/officeDocument/2006/relationships/hyperlink" Target="http://progen.md/files/9352_covid_19_impactul_participarea.pdf" TargetMode="External"/><Relationship Id="rId2" Type="http://schemas.openxmlformats.org/officeDocument/2006/relationships/hyperlink" Target="https://data.consilium.europa.eu/doc/document/ST-13185-2020-INIT/en/pdf" TargetMode="External"/><Relationship Id="rId1" Type="http://schemas.openxmlformats.org/officeDocument/2006/relationships/hyperlink" Target="https://www.coe.int/en/web/youth/youth-strategy-2030" TargetMode="External"/><Relationship Id="rId6" Type="http://schemas.openxmlformats.org/officeDocument/2006/relationships/hyperlink" Target="https://gov.md/sites/default/files/document/attachments/programul_de_activitate_al_guvernului_moldova_vremurilor_bune.pdf" TargetMode="External"/><Relationship Id="rId11" Type="http://schemas.openxmlformats.org/officeDocument/2006/relationships/hyperlink" Target="https://www.youtube.com/watch?v=HHcqRufwz7U" TargetMode="External"/><Relationship Id="rId5" Type="http://schemas.openxmlformats.org/officeDocument/2006/relationships/hyperlink" Target="https://international-partnerships.ec.europa.eu/document/fe1bcd30-58da-4a37-ab2a-61848789da60_en?fbclid=IwAR0zLcbH9OpIc8yNjuoy4RHWWq9SVs8Csl4NED97lAdfV5AN43AaYC4sCCA" TargetMode="External"/><Relationship Id="rId10" Type="http://schemas.openxmlformats.org/officeDocument/2006/relationships/hyperlink" Target="https://moldova.unfpa.org/en/node/51648" TargetMode="External"/><Relationship Id="rId4" Type="http://schemas.openxmlformats.org/officeDocument/2006/relationships/hyperlink" Target="https://eur-lex.europa.eu/legal-content/EN/TXT/PDF/?uri=CELEX:42018Y1218(01)&amp;qid=1578414694481&amp;from=EN" TargetMode="External"/><Relationship Id="rId9" Type="http://schemas.openxmlformats.org/officeDocument/2006/relationships/hyperlink" Target="http://progen.md/files/9352_covid_19_impactul_participare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NFPA\COVID%20paper\Booster%202\date%20booste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PD\UNFPA\!!%20STRATEGIA%20DE%20TINERET%202020\!!EVALUAREA%20STRATEGIEI_METODOLOGIA\TEXTUL%20RAPORTULUI\grafic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CPD\UNFPA\!!%20STRATEGIA%20DE%20TINERET%202020\!!EVALUAREA%20STRATEGIEI_METODOLOGIA\TEXTUL%20RAPORTULUI\grafice.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CPD\UNFPA\!!SONDAJ%20C19\Analiza\REPREZENTAREA_ANALIZA%20DATELO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PD\UNFPA\!!SONDAJ%20C19\Analiza\REPREZENTAREA_ANALIZA%20DATELO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PD\UNFPA\!!SONDAJ%20C19\Analiza\REPREZENTAREA_ANALIZA%20DATELO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PD\UNFPA\!!SONDAJ%20C19\Analiza\REPREZENTAREA_ANALIZA%20DATELO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PD\UNFPA\!!SONDAJ%20C19\Analiza\Modelul%20II_Septembrie%202020\!!Analiza%20noua_Septembrie%202020\Participarea_analiza%20datelo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PD\UNFPA\!!SONDAJ%20C19\Analiza\Modelul%20II_Septembrie%202020\!!Analiza%20noua_Septembrie%202020\Participarea_analiza%20datelo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PD\UNFPA\!!%20STRATEGIA%20DE%20TINERET%202020\!!EVALUAREA%20STRATEGIEI_METODOLOGIA\TEXTUL%20RAPORTULUI\grafic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PD\UNFPA\!!%20STRATEGIA%20DE%20TINERET%202020\!!EVALUAREA%20STRATEGIEI_METODOLOGIA\TEXTUL%20RAPORTULUI\grafic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sq-AL" sz="800">
                <a:solidFill>
                  <a:schemeClr val="accent1">
                    <a:lumMod val="50000"/>
                  </a:schemeClr>
                </a:solidFill>
              </a:rPr>
              <a:t>În ultimele 12 luni ... de servicii</a:t>
            </a:r>
            <a:r>
              <a:rPr lang="sq-AL" sz="800" baseline="0">
                <a:solidFill>
                  <a:schemeClr val="accent1">
                    <a:lumMod val="50000"/>
                  </a:schemeClr>
                </a:solidFill>
              </a:rPr>
              <a:t> de tineret</a:t>
            </a:r>
            <a:endParaRPr lang="sq-AL" sz="800">
              <a:solidFill>
                <a:schemeClr val="accent1">
                  <a:lumMod val="50000"/>
                </a:schemeClr>
              </a:solidFill>
            </a:endParaRPr>
          </a:p>
        </c:rich>
      </c:tx>
      <c:layout>
        <c:manualLayout>
          <c:xMode val="edge"/>
          <c:yMode val="edge"/>
          <c:x val="0.30833643870699312"/>
          <c:y val="7.4766355140186919E-3"/>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51634719188381561"/>
          <c:y val="0.27701346677459709"/>
          <c:w val="0.48365280811618439"/>
          <c:h val="0.66809882877131233"/>
        </c:manualLayout>
      </c:layout>
      <c:barChart>
        <c:barDir val="bar"/>
        <c:grouping val="clustered"/>
        <c:varyColors val="0"/>
        <c:ser>
          <c:idx val="1"/>
          <c:order val="0"/>
          <c:tx>
            <c:strRef>
              <c:f>accesibilitate!$B$86</c:f>
              <c:strCache>
                <c:ptCount val="1"/>
                <c:pt idx="0">
                  <c:v>Au beneficiat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accesibilitate!$C$84:$G$84</c:f>
              <c:strCache>
                <c:ptCount val="5"/>
                <c:pt idx="0">
                  <c:v>Serviciul de participare a tinerilor</c:v>
                </c:pt>
                <c:pt idx="1">
                  <c:v>Activități / programe de voluntariat</c:v>
                </c:pt>
                <c:pt idx="2">
                  <c:v>Educație pentru sănătate</c:v>
                </c:pt>
                <c:pt idx="3">
                  <c:v>Training-uri, seminare și sesiuni tematice de informare</c:v>
                </c:pt>
                <c:pt idx="4">
                  <c:v>Serviciul de abilitare economică a tinerilor, inclusiv orientare și ghidare în carieră</c:v>
                </c:pt>
              </c:strCache>
            </c:strRef>
          </c:cat>
          <c:val>
            <c:numRef>
              <c:f>accesibilitate!$C$86:$G$86</c:f>
              <c:numCache>
                <c:formatCode>General</c:formatCode>
                <c:ptCount val="5"/>
                <c:pt idx="0">
                  <c:v>5.5</c:v>
                </c:pt>
                <c:pt idx="1">
                  <c:v>9.9</c:v>
                </c:pt>
                <c:pt idx="2">
                  <c:v>10.6</c:v>
                </c:pt>
                <c:pt idx="3">
                  <c:v>12.7</c:v>
                </c:pt>
                <c:pt idx="4">
                  <c:v>11.4</c:v>
                </c:pt>
              </c:numCache>
            </c:numRef>
          </c:val>
          <c:extLst xmlns:c16r2="http://schemas.microsoft.com/office/drawing/2015/06/chart">
            <c:ext xmlns:c16="http://schemas.microsoft.com/office/drawing/2014/chart" uri="{C3380CC4-5D6E-409C-BE32-E72D297353CC}">
              <c16:uniqueId val="{00000000-F615-4D24-9AF8-6E701564F159}"/>
            </c:ext>
          </c:extLst>
        </c:ser>
        <c:ser>
          <c:idx val="0"/>
          <c:order val="1"/>
          <c:tx>
            <c:strRef>
              <c:f>accesibilitate!$B$85</c:f>
              <c:strCache>
                <c:ptCount val="1"/>
                <c:pt idx="0">
                  <c:v>Au avut nevoie</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accesibilitate!$C$84:$G$84</c:f>
              <c:strCache>
                <c:ptCount val="5"/>
                <c:pt idx="0">
                  <c:v>Serviciul de participare a tinerilor</c:v>
                </c:pt>
                <c:pt idx="1">
                  <c:v>Activități / programe de voluntariat</c:v>
                </c:pt>
                <c:pt idx="2">
                  <c:v>Educație pentru sănătate</c:v>
                </c:pt>
                <c:pt idx="3">
                  <c:v>Training-uri, seminare și sesiuni tematice de informare</c:v>
                </c:pt>
                <c:pt idx="4">
                  <c:v>Serviciul de abilitare economică a tinerilor, inclusiv orientare și ghidare în carieră</c:v>
                </c:pt>
              </c:strCache>
            </c:strRef>
          </c:cat>
          <c:val>
            <c:numRef>
              <c:f>accesibilitate!$C$85:$G$85</c:f>
              <c:numCache>
                <c:formatCode>General</c:formatCode>
                <c:ptCount val="5"/>
                <c:pt idx="0">
                  <c:v>11</c:v>
                </c:pt>
                <c:pt idx="1">
                  <c:v>16.2</c:v>
                </c:pt>
                <c:pt idx="2">
                  <c:v>19.399999999999999</c:v>
                </c:pt>
                <c:pt idx="3">
                  <c:v>22.3</c:v>
                </c:pt>
                <c:pt idx="4">
                  <c:v>24</c:v>
                </c:pt>
              </c:numCache>
            </c:numRef>
          </c:val>
          <c:extLst xmlns:c16r2="http://schemas.microsoft.com/office/drawing/2015/06/chart">
            <c:ext xmlns:c16="http://schemas.microsoft.com/office/drawing/2014/chart" uri="{C3380CC4-5D6E-409C-BE32-E72D297353CC}">
              <c16:uniqueId val="{00000001-F615-4D24-9AF8-6E701564F159}"/>
            </c:ext>
          </c:extLst>
        </c:ser>
        <c:dLbls>
          <c:dLblPos val="outEnd"/>
          <c:showLegendKey val="0"/>
          <c:showVal val="1"/>
          <c:showCatName val="0"/>
          <c:showSerName val="0"/>
          <c:showPercent val="0"/>
          <c:showBubbleSize val="0"/>
        </c:dLbls>
        <c:gapWidth val="66"/>
        <c:axId val="772437216"/>
        <c:axId val="859427152"/>
      </c:barChart>
      <c:catAx>
        <c:axId val="77243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859427152"/>
        <c:crosses val="autoZero"/>
        <c:auto val="1"/>
        <c:lblAlgn val="ctr"/>
        <c:lblOffset val="100"/>
        <c:noMultiLvlLbl val="0"/>
      </c:catAx>
      <c:valAx>
        <c:axId val="859427152"/>
        <c:scaling>
          <c:orientation val="minMax"/>
        </c:scaling>
        <c:delete val="1"/>
        <c:axPos val="b"/>
        <c:numFmt formatCode="General" sourceLinked="1"/>
        <c:majorTickMark val="none"/>
        <c:minorTickMark val="none"/>
        <c:tickLblPos val="nextTo"/>
        <c:crossAx val="772437216"/>
        <c:crosses val="autoZero"/>
        <c:crossBetween val="between"/>
      </c:valAx>
      <c:spPr>
        <a:noFill/>
        <a:ln>
          <a:noFill/>
        </a:ln>
        <a:effectLst/>
      </c:spPr>
    </c:plotArea>
    <c:legend>
      <c:legendPos val="t"/>
      <c:layout>
        <c:manualLayout>
          <c:xMode val="edge"/>
          <c:yMode val="edge"/>
          <c:x val="0.17936155898073927"/>
          <c:y val="0.13572218739275557"/>
          <c:w val="0.593446580598745"/>
          <c:h val="9.594947737141573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lumMod val="50000"/>
        </a:schemeClr>
      </a:solidFill>
      <a:round/>
    </a:ln>
    <a:effectLst/>
  </c:spPr>
  <c:txPr>
    <a:bodyPr/>
    <a:lstStyle/>
    <a:p>
      <a:pPr>
        <a:defRPr>
          <a:solidFill>
            <a:schemeClr val="tx1"/>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o-RO" sz="900" b="0">
                <a:solidFill>
                  <a:schemeClr val="accent1">
                    <a:lumMod val="50000"/>
                  </a:schemeClr>
                </a:solidFill>
                <a:effectLst/>
              </a:rPr>
              <a:t>Au </a:t>
            </a:r>
            <a:r>
              <a:rPr lang="en-US" sz="900" b="0">
                <a:solidFill>
                  <a:schemeClr val="accent1">
                    <a:lumMod val="50000"/>
                  </a:schemeClr>
                </a:solidFill>
                <a:effectLst/>
              </a:rPr>
              <a:t>făcut</a:t>
            </a:r>
            <a:r>
              <a:rPr lang="ro-RO" sz="900" b="0" baseline="0">
                <a:solidFill>
                  <a:schemeClr val="accent1">
                    <a:lumMod val="50000"/>
                  </a:schemeClr>
                </a:solidFill>
                <a:effectLst/>
              </a:rPr>
              <a:t>/fac </a:t>
            </a:r>
            <a:r>
              <a:rPr lang="en-US" sz="900" b="0">
                <a:solidFill>
                  <a:schemeClr val="accent1">
                    <a:lumMod val="50000"/>
                  </a:schemeClr>
                </a:solidFill>
                <a:effectLst/>
              </a:rPr>
              <a:t>munci neplătite în mod voluntar</a:t>
            </a:r>
            <a:endParaRPr lang="ru-RU" sz="900" b="0">
              <a:solidFill>
                <a:schemeClr val="accent1">
                  <a:lumMod val="50000"/>
                </a:schemeClr>
              </a:solidFill>
              <a:effectLst/>
            </a:endParaRPr>
          </a:p>
        </c:rich>
      </c:tx>
      <c:layout>
        <c:manualLayout>
          <c:xMode val="edge"/>
          <c:yMode val="edge"/>
          <c:x val="0.17032510155245875"/>
          <c:y val="7.0571630204657732E-3"/>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1279764728204156"/>
          <c:y val="0.35697474153126624"/>
          <c:w val="0.83987016683155569"/>
          <c:h val="0.50613152990257237"/>
        </c:manualLayout>
      </c:layout>
      <c:barChart>
        <c:barDir val="col"/>
        <c:grouping val="clustered"/>
        <c:varyColors val="0"/>
        <c:ser>
          <c:idx val="0"/>
          <c:order val="0"/>
          <c:tx>
            <c:strRef>
              <c:f>Лист5!$B$3</c:f>
              <c:strCache>
                <c:ptCount val="1"/>
                <c:pt idx="0">
                  <c:v>Persoane cu dizabiliăți de 18-39 ani</c:v>
                </c:pt>
              </c:strCache>
            </c:strRef>
          </c:tx>
          <c:spPr>
            <a:solidFill>
              <a:schemeClr val="accent5">
                <a:lumMod val="50000"/>
              </a:schemeClr>
            </a:solidFill>
            <a:ln>
              <a:noFill/>
            </a:ln>
            <a:effectLst/>
          </c:spPr>
          <c:invertIfNegative val="0"/>
          <c:dLbls>
            <c:dLbl>
              <c:idx val="0"/>
              <c:layout>
                <c:manualLayout>
                  <c:x val="-4.850836769342756E-3"/>
                  <c:y val="2.11714890613973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8AB-492B-876A-812B1B3DFAD6}"/>
                </c:ext>
                <c:ext xmlns:c15="http://schemas.microsoft.com/office/drawing/2012/chart" uri="{CE6537A1-D6FC-4f65-9D91-7224C49458BB}"/>
              </c:extLst>
            </c:dLbl>
            <c:dLbl>
              <c:idx val="1"/>
              <c:layout>
                <c:manualLayout>
                  <c:x val="4.8508367693426225E-3"/>
                  <c:y val="7.057163020465773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8AB-492B-876A-812B1B3DFAD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Лист5!$C$2:$D$2</c:f>
              <c:strCache>
                <c:ptCount val="2"/>
                <c:pt idx="0">
                  <c:v>Partide politice</c:v>
                </c:pt>
                <c:pt idx="1">
                  <c:v>ONGuri/Asociații</c:v>
                </c:pt>
              </c:strCache>
            </c:strRef>
          </c:cat>
          <c:val>
            <c:numRef>
              <c:f>Лист5!$C$3:$D$3</c:f>
              <c:numCache>
                <c:formatCode>0.0</c:formatCode>
                <c:ptCount val="2"/>
                <c:pt idx="0" formatCode="General">
                  <c:v>2.4</c:v>
                </c:pt>
                <c:pt idx="1">
                  <c:v>2.4666666666666668</c:v>
                </c:pt>
              </c:numCache>
            </c:numRef>
          </c:val>
          <c:extLst xmlns:c16r2="http://schemas.microsoft.com/office/drawing/2015/06/chart">
            <c:ext xmlns:c16="http://schemas.microsoft.com/office/drawing/2014/chart" uri="{C3380CC4-5D6E-409C-BE32-E72D297353CC}">
              <c16:uniqueId val="{00000002-F8AB-492B-876A-812B1B3DFAD6}"/>
            </c:ext>
          </c:extLst>
        </c:ser>
        <c:ser>
          <c:idx val="1"/>
          <c:order val="1"/>
          <c:tx>
            <c:strRef>
              <c:f>Лист5!$B$4</c:f>
              <c:strCache>
                <c:ptCount val="1"/>
                <c:pt idx="0">
                  <c:v>Romi de 18-39 ani</c:v>
                </c:pt>
              </c:strCache>
            </c:strRef>
          </c:tx>
          <c:spPr>
            <a:solidFill>
              <a:schemeClr val="accent2"/>
            </a:solidFill>
            <a:ln>
              <a:noFill/>
            </a:ln>
            <a:effectLst/>
          </c:spPr>
          <c:invertIfNegative val="0"/>
          <c:dLbls>
            <c:dLbl>
              <c:idx val="0"/>
              <c:layout>
                <c:manualLayout>
                  <c:x val="-8.8930980099678831E-17"/>
                  <c:y val="2.82286520818630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8AB-492B-876A-812B1B3DFAD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Лист5!$C$2:$D$2</c:f>
              <c:strCache>
                <c:ptCount val="2"/>
                <c:pt idx="0">
                  <c:v>Partide politice</c:v>
                </c:pt>
                <c:pt idx="1">
                  <c:v>ONGuri/Asociații</c:v>
                </c:pt>
              </c:strCache>
            </c:strRef>
          </c:cat>
          <c:val>
            <c:numRef>
              <c:f>Лист5!$C$4:$D$4</c:f>
              <c:numCache>
                <c:formatCode>0.0</c:formatCode>
                <c:ptCount val="2"/>
                <c:pt idx="0" formatCode="General">
                  <c:v>2</c:v>
                </c:pt>
                <c:pt idx="1">
                  <c:v>1.788888888888889</c:v>
                </c:pt>
              </c:numCache>
            </c:numRef>
          </c:val>
          <c:extLst xmlns:c16r2="http://schemas.microsoft.com/office/drawing/2015/06/chart">
            <c:ext xmlns:c16="http://schemas.microsoft.com/office/drawing/2014/chart" uri="{C3380CC4-5D6E-409C-BE32-E72D297353CC}">
              <c16:uniqueId val="{00000004-F8AB-492B-876A-812B1B3DFAD6}"/>
            </c:ext>
          </c:extLst>
        </c:ser>
        <c:dLbls>
          <c:showLegendKey val="0"/>
          <c:showVal val="0"/>
          <c:showCatName val="0"/>
          <c:showSerName val="0"/>
          <c:showPercent val="0"/>
          <c:showBubbleSize val="0"/>
        </c:dLbls>
        <c:gapWidth val="219"/>
        <c:overlap val="-27"/>
        <c:axId val="722286016"/>
        <c:axId val="722283296"/>
      </c:barChart>
      <c:catAx>
        <c:axId val="7222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722283296"/>
        <c:crosses val="autoZero"/>
        <c:auto val="1"/>
        <c:lblAlgn val="ctr"/>
        <c:lblOffset val="100"/>
        <c:noMultiLvlLbl val="0"/>
      </c:catAx>
      <c:valAx>
        <c:axId val="72228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n-US"/>
          </a:p>
        </c:txPr>
        <c:crossAx val="722286016"/>
        <c:crosses val="autoZero"/>
        <c:crossBetween val="between"/>
      </c:valAx>
      <c:spPr>
        <a:noFill/>
        <a:ln w="6350">
          <a:noFill/>
        </a:ln>
        <a:effectLst/>
      </c:spPr>
    </c:plotArea>
    <c:legend>
      <c:legendPos val="t"/>
      <c:layout>
        <c:manualLayout>
          <c:xMode val="edge"/>
          <c:yMode val="edge"/>
          <c:x val="0.17618582906338742"/>
          <c:y val="0.18327452364149613"/>
          <c:w val="0.75434636884311357"/>
          <c:h val="0.1611478170027617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o-RO" sz="900">
                <a:solidFill>
                  <a:schemeClr val="accent1">
                    <a:lumMod val="50000"/>
                  </a:schemeClr>
                </a:solidFill>
              </a:rPr>
              <a:t>Sunt membri în aceste entități</a:t>
            </a:r>
            <a:endParaRPr lang="ru-RU" sz="900">
              <a:solidFill>
                <a:schemeClr val="accent1">
                  <a:lumMod val="50000"/>
                </a:schemeClr>
              </a:solidFill>
            </a:endParaRPr>
          </a:p>
        </c:rich>
      </c:tx>
      <c:layout>
        <c:manualLayout>
          <c:xMode val="edge"/>
          <c:yMode val="edge"/>
          <c:x val="0.30945831953821129"/>
          <c:y val="1.2995908770827149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7.6728592519685043E-2"/>
          <c:y val="0.24556744708463546"/>
          <c:w val="0.89463924706137754"/>
          <c:h val="0.41960880167140968"/>
        </c:manualLayout>
      </c:layout>
      <c:barChart>
        <c:barDir val="col"/>
        <c:grouping val="clustered"/>
        <c:varyColors val="0"/>
        <c:ser>
          <c:idx val="0"/>
          <c:order val="0"/>
          <c:tx>
            <c:strRef>
              <c:f>Лист5!$C$13</c:f>
              <c:strCache>
                <c:ptCount val="1"/>
                <c:pt idx="0">
                  <c:v>Persoane cu dizabilități de 18-39 ani</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Лист5!$B$14:$B$17</c:f>
              <c:strCache>
                <c:ptCount val="4"/>
                <c:pt idx="0">
                  <c:v>Grupuri de inițiativă locală</c:v>
                </c:pt>
                <c:pt idx="1">
                  <c:v>Organizații privind apărarea drepturilor omului și dezvoltarea țărilor din lumea a treia</c:v>
                </c:pt>
                <c:pt idx="2">
                  <c:v>Asociații de tineret</c:v>
                </c:pt>
                <c:pt idx="3">
                  <c:v>Asociații pentru un mod sănătos de viață</c:v>
                </c:pt>
              </c:strCache>
            </c:strRef>
          </c:cat>
          <c:val>
            <c:numRef>
              <c:f>Лист5!$C$14:$C$17</c:f>
              <c:numCache>
                <c:formatCode>General</c:formatCode>
                <c:ptCount val="4"/>
                <c:pt idx="0">
                  <c:v>0</c:v>
                </c:pt>
                <c:pt idx="1">
                  <c:v>0</c:v>
                </c:pt>
                <c:pt idx="2">
                  <c:v>1.2</c:v>
                </c:pt>
                <c:pt idx="3">
                  <c:v>1.2</c:v>
                </c:pt>
              </c:numCache>
            </c:numRef>
          </c:val>
          <c:extLst xmlns:c16r2="http://schemas.microsoft.com/office/drawing/2015/06/chart">
            <c:ext xmlns:c16="http://schemas.microsoft.com/office/drawing/2014/chart" uri="{C3380CC4-5D6E-409C-BE32-E72D297353CC}">
              <c16:uniqueId val="{00000000-5AEC-4980-84A6-30FC501A1348}"/>
            </c:ext>
          </c:extLst>
        </c:ser>
        <c:ser>
          <c:idx val="1"/>
          <c:order val="1"/>
          <c:tx>
            <c:strRef>
              <c:f>Лист5!$D$13</c:f>
              <c:strCache>
                <c:ptCount val="1"/>
                <c:pt idx="0">
                  <c:v>Romi de 18-39 ani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Лист5!$B$14:$B$17</c:f>
              <c:strCache>
                <c:ptCount val="4"/>
                <c:pt idx="0">
                  <c:v>Grupuri de inițiativă locală</c:v>
                </c:pt>
                <c:pt idx="1">
                  <c:v>Organizații privind apărarea drepturilor omului și dezvoltarea țărilor din lumea a treia</c:v>
                </c:pt>
                <c:pt idx="2">
                  <c:v>Asociații de tineret</c:v>
                </c:pt>
                <c:pt idx="3">
                  <c:v>Asociații pentru un mod sănătos de viață</c:v>
                </c:pt>
              </c:strCache>
            </c:strRef>
          </c:cat>
          <c:val>
            <c:numRef>
              <c:f>Лист5!$D$14:$D$17</c:f>
              <c:numCache>
                <c:formatCode>General</c:formatCode>
                <c:ptCount val="4"/>
                <c:pt idx="0">
                  <c:v>2</c:v>
                </c:pt>
                <c:pt idx="1">
                  <c:v>2</c:v>
                </c:pt>
                <c:pt idx="2">
                  <c:v>0</c:v>
                </c:pt>
                <c:pt idx="3">
                  <c:v>1</c:v>
                </c:pt>
              </c:numCache>
            </c:numRef>
          </c:val>
          <c:extLst xmlns:c16r2="http://schemas.microsoft.com/office/drawing/2015/06/chart">
            <c:ext xmlns:c16="http://schemas.microsoft.com/office/drawing/2014/chart" uri="{C3380CC4-5D6E-409C-BE32-E72D297353CC}">
              <c16:uniqueId val="{00000001-5AEC-4980-84A6-30FC501A1348}"/>
            </c:ext>
          </c:extLst>
        </c:ser>
        <c:dLbls>
          <c:showLegendKey val="0"/>
          <c:showVal val="0"/>
          <c:showCatName val="0"/>
          <c:showSerName val="0"/>
          <c:showPercent val="0"/>
          <c:showBubbleSize val="0"/>
        </c:dLbls>
        <c:gapWidth val="57"/>
        <c:axId val="722284928"/>
        <c:axId val="717117648"/>
      </c:barChart>
      <c:catAx>
        <c:axId val="72228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ysClr val="windowText" lastClr="000000"/>
                </a:solidFill>
                <a:latin typeface="+mn-lt"/>
                <a:ea typeface="+mn-ea"/>
                <a:cs typeface="+mn-cs"/>
              </a:defRPr>
            </a:pPr>
            <a:endParaRPr lang="en-US"/>
          </a:p>
        </c:txPr>
        <c:crossAx val="717117648"/>
        <c:crosses val="autoZero"/>
        <c:auto val="1"/>
        <c:lblAlgn val="ctr"/>
        <c:lblOffset val="100"/>
        <c:noMultiLvlLbl val="0"/>
      </c:catAx>
      <c:valAx>
        <c:axId val="71711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n-US"/>
          </a:p>
        </c:txPr>
        <c:crossAx val="722284928"/>
        <c:crosses val="autoZero"/>
        <c:crossBetween val="between"/>
      </c:valAx>
      <c:spPr>
        <a:noFill/>
        <a:ln>
          <a:noFill/>
        </a:ln>
        <a:effectLst/>
      </c:spPr>
    </c:plotArea>
    <c:legend>
      <c:legendPos val="t"/>
      <c:layout>
        <c:manualLayout>
          <c:xMode val="edge"/>
          <c:yMode val="edge"/>
          <c:x val="7.457628582533217E-2"/>
          <c:y val="0.11814515425039721"/>
          <c:w val="0.85084742834933569"/>
          <c:h val="0.1157969167379576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5"/>
                </a:solidFill>
                <a:latin typeface="+mn-lt"/>
                <a:ea typeface="+mn-ea"/>
                <a:cs typeface="+mn-cs"/>
              </a:defRPr>
            </a:pPr>
            <a:r>
              <a:rPr lang="en-GB" sz="800">
                <a:solidFill>
                  <a:schemeClr val="accent1">
                    <a:lumMod val="50000"/>
                  </a:schemeClr>
                </a:solidFill>
              </a:rPr>
              <a:t>Serviciul de abilitare economică a tinerilor, inclusiv orientare și ghidare în carieră</a:t>
            </a:r>
            <a:endParaRPr lang="ru-RU" sz="800">
              <a:solidFill>
                <a:schemeClr val="accent1">
                  <a:lumMod val="50000"/>
                </a:schemeClr>
              </a:solidFill>
            </a:endParaRPr>
          </a:p>
        </c:rich>
      </c:tx>
      <c:layout>
        <c:manualLayout>
          <c:xMode val="edge"/>
          <c:yMode val="edge"/>
          <c:x val="0.10539017195341288"/>
          <c:y val="0"/>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5"/>
              </a:solidFill>
              <a:latin typeface="+mn-lt"/>
              <a:ea typeface="+mn-ea"/>
              <a:cs typeface="+mn-cs"/>
            </a:defRPr>
          </a:pPr>
          <a:endParaRPr lang="en-US"/>
        </a:p>
      </c:txPr>
    </c:title>
    <c:autoTitleDeleted val="0"/>
    <c:plotArea>
      <c:layout>
        <c:manualLayout>
          <c:layoutTarget val="inner"/>
          <c:xMode val="edge"/>
          <c:yMode val="edge"/>
          <c:x val="7.4958613444694872E-2"/>
          <c:y val="0.27434919014277914"/>
          <c:w val="0.87960561621247157"/>
          <c:h val="0.33167990849728107"/>
        </c:manualLayout>
      </c:layout>
      <c:barChart>
        <c:barDir val="col"/>
        <c:grouping val="clustered"/>
        <c:varyColors val="0"/>
        <c:ser>
          <c:idx val="0"/>
          <c:order val="0"/>
          <c:tx>
            <c:strRef>
              <c:f>Лист1!$C$44</c:f>
              <c:strCache>
                <c:ptCount val="1"/>
                <c:pt idx="0">
                  <c:v>Au avut nevoie</c:v>
                </c:pt>
              </c:strCache>
            </c:strRef>
          </c:tx>
          <c:spPr>
            <a:solidFill>
              <a:schemeClr val="accent1">
                <a:lumMod val="50000"/>
              </a:schemeClr>
            </a:solidFill>
            <a:ln>
              <a:solidFill>
                <a:schemeClr val="accent5">
                  <a:lumMod val="50000"/>
                </a:schemeClr>
              </a:solidFill>
            </a:ln>
            <a:effectLst/>
          </c:spPr>
          <c:invertIfNegative val="0"/>
          <c:dPt>
            <c:idx val="0"/>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1-F400-4A08-9ED3-0F7E98FDA016}"/>
              </c:ext>
            </c:extLst>
          </c:dPt>
          <c:dPt>
            <c:idx val="8"/>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3-F400-4A08-9ED3-0F7E98FDA016}"/>
              </c:ext>
            </c:extLst>
          </c:dPt>
          <c:dPt>
            <c:idx val="11"/>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5-F400-4A08-9ED3-0F7E98FDA016}"/>
              </c:ext>
            </c:extLst>
          </c:dPt>
          <c:cat>
            <c:strRef>
              <c:f>Лист1!$B$45:$B$61</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Лист1!$C$45:$C$61</c:f>
              <c:numCache>
                <c:formatCode>General</c:formatCode>
                <c:ptCount val="17"/>
                <c:pt idx="0">
                  <c:v>22.5</c:v>
                </c:pt>
                <c:pt idx="1">
                  <c:v>25.6</c:v>
                </c:pt>
                <c:pt idx="2">
                  <c:v>28.8</c:v>
                </c:pt>
                <c:pt idx="3">
                  <c:v>24.6</c:v>
                </c:pt>
                <c:pt idx="4">
                  <c:v>20.100000000000001</c:v>
                </c:pt>
                <c:pt idx="5">
                  <c:v>26.9</c:v>
                </c:pt>
                <c:pt idx="6">
                  <c:v>25.6</c:v>
                </c:pt>
                <c:pt idx="7">
                  <c:v>21.9</c:v>
                </c:pt>
                <c:pt idx="8">
                  <c:v>18.899999999999999</c:v>
                </c:pt>
                <c:pt idx="9">
                  <c:v>25</c:v>
                </c:pt>
                <c:pt idx="10">
                  <c:v>24.5</c:v>
                </c:pt>
                <c:pt idx="11">
                  <c:v>19.5</c:v>
                </c:pt>
                <c:pt idx="12">
                  <c:v>23.2</c:v>
                </c:pt>
                <c:pt idx="13">
                  <c:v>25</c:v>
                </c:pt>
                <c:pt idx="14">
                  <c:v>24.8</c:v>
                </c:pt>
                <c:pt idx="15">
                  <c:v>25</c:v>
                </c:pt>
                <c:pt idx="16">
                  <c:v>23</c:v>
                </c:pt>
              </c:numCache>
            </c:numRef>
          </c:val>
          <c:extLst xmlns:c16r2="http://schemas.microsoft.com/office/drawing/2015/06/chart">
            <c:ext xmlns:c16="http://schemas.microsoft.com/office/drawing/2014/chart" uri="{C3380CC4-5D6E-409C-BE32-E72D297353CC}">
              <c16:uniqueId val="{00000006-F400-4A08-9ED3-0F7E98FDA016}"/>
            </c:ext>
          </c:extLst>
        </c:ser>
        <c:dLbls>
          <c:showLegendKey val="0"/>
          <c:showVal val="0"/>
          <c:showCatName val="0"/>
          <c:showSerName val="0"/>
          <c:showPercent val="0"/>
          <c:showBubbleSize val="0"/>
        </c:dLbls>
        <c:gapWidth val="30"/>
        <c:overlap val="-27"/>
        <c:axId val="859425520"/>
        <c:axId val="859427696"/>
      </c:barChart>
      <c:lineChart>
        <c:grouping val="standard"/>
        <c:varyColors val="0"/>
        <c:ser>
          <c:idx val="1"/>
          <c:order val="1"/>
          <c:tx>
            <c:strRef>
              <c:f>Лист1!$D$44</c:f>
              <c:strCache>
                <c:ptCount val="1"/>
                <c:pt idx="0">
                  <c:v>Au beneficiat</c:v>
                </c:pt>
              </c:strCache>
            </c:strRef>
          </c:tx>
          <c:spPr>
            <a:ln w="28575" cap="rnd">
              <a:noFill/>
              <a:round/>
            </a:ln>
            <a:effectLst/>
          </c:spPr>
          <c:marker>
            <c:symbol val="diamond"/>
            <c:size val="5"/>
            <c:spPr>
              <a:solidFill>
                <a:schemeClr val="accent2"/>
              </a:solidFill>
              <a:ln w="9525">
                <a:noFill/>
              </a:ln>
              <a:effectLst/>
            </c:spPr>
          </c:marker>
          <c:dPt>
            <c:idx val="0"/>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7-F400-4A08-9ED3-0F7E98FDA016}"/>
              </c:ext>
            </c:extLst>
          </c:dPt>
          <c:dPt>
            <c:idx val="8"/>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8-F400-4A08-9ED3-0F7E98FDA016}"/>
              </c:ext>
            </c:extLst>
          </c:dPt>
          <c:dPt>
            <c:idx val="10"/>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9-F400-4A08-9ED3-0F7E98FDA016}"/>
              </c:ext>
            </c:extLst>
          </c:dPt>
          <c:dPt>
            <c:idx val="11"/>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A-F400-4A08-9ED3-0F7E98FDA016}"/>
              </c:ext>
            </c:extLst>
          </c:dPt>
          <c:cat>
            <c:strRef>
              <c:f>Лист1!$B$45:$B$61</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Лист1!$D$45:$D$61</c:f>
              <c:numCache>
                <c:formatCode>0.0</c:formatCode>
                <c:ptCount val="17"/>
                <c:pt idx="0">
                  <c:v>9.2025000000000006</c:v>
                </c:pt>
                <c:pt idx="1">
                  <c:v>13.7216</c:v>
                </c:pt>
                <c:pt idx="2">
                  <c:v>15.638399999999999</c:v>
                </c:pt>
                <c:pt idx="3">
                  <c:v>10.9224</c:v>
                </c:pt>
                <c:pt idx="4">
                  <c:v>8.6430000000000007</c:v>
                </c:pt>
                <c:pt idx="5">
                  <c:v>15.736499999999999</c:v>
                </c:pt>
                <c:pt idx="6">
                  <c:v>12.569600000000001</c:v>
                </c:pt>
                <c:pt idx="7">
                  <c:v>8.5409999999999986</c:v>
                </c:pt>
                <c:pt idx="8">
                  <c:v>4.0067999999999993</c:v>
                </c:pt>
                <c:pt idx="9">
                  <c:v>14.475</c:v>
                </c:pt>
                <c:pt idx="10">
                  <c:v>11.686500000000001</c:v>
                </c:pt>
                <c:pt idx="11">
                  <c:v>8.5604999999999993</c:v>
                </c:pt>
                <c:pt idx="12">
                  <c:v>8.9319999999999986</c:v>
                </c:pt>
                <c:pt idx="13">
                  <c:v>12.025</c:v>
                </c:pt>
                <c:pt idx="14">
                  <c:v>12.4</c:v>
                </c:pt>
                <c:pt idx="15">
                  <c:v>11.35</c:v>
                </c:pt>
                <c:pt idx="16">
                  <c:v>11.385</c:v>
                </c:pt>
              </c:numCache>
            </c:numRef>
          </c:val>
          <c:smooth val="0"/>
          <c:extLst xmlns:c16r2="http://schemas.microsoft.com/office/drawing/2015/06/chart">
            <c:ext xmlns:c16="http://schemas.microsoft.com/office/drawing/2014/chart" uri="{C3380CC4-5D6E-409C-BE32-E72D297353CC}">
              <c16:uniqueId val="{0000000B-F400-4A08-9ED3-0F7E98FDA016}"/>
            </c:ext>
          </c:extLst>
        </c:ser>
        <c:dLbls>
          <c:showLegendKey val="0"/>
          <c:showVal val="0"/>
          <c:showCatName val="0"/>
          <c:showSerName val="0"/>
          <c:showPercent val="0"/>
          <c:showBubbleSize val="0"/>
        </c:dLbls>
        <c:marker val="1"/>
        <c:smooth val="0"/>
        <c:axId val="859425520"/>
        <c:axId val="859427696"/>
      </c:lineChart>
      <c:catAx>
        <c:axId val="85942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mn-lt"/>
                <a:ea typeface="+mn-ea"/>
                <a:cs typeface="+mn-cs"/>
              </a:defRPr>
            </a:pPr>
            <a:endParaRPr lang="en-US"/>
          </a:p>
        </c:txPr>
        <c:crossAx val="859427696"/>
        <c:crosses val="autoZero"/>
        <c:auto val="1"/>
        <c:lblAlgn val="ctr"/>
        <c:lblOffset val="100"/>
        <c:noMultiLvlLbl val="0"/>
      </c:catAx>
      <c:valAx>
        <c:axId val="859427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859425520"/>
        <c:crosses val="autoZero"/>
        <c:crossBetween val="between"/>
      </c:valAx>
      <c:spPr>
        <a:noFill/>
        <a:ln>
          <a:noFill/>
        </a:ln>
        <a:effectLst/>
      </c:spPr>
    </c:plotArea>
    <c:legend>
      <c:legendPos val="t"/>
      <c:layout>
        <c:manualLayout>
          <c:xMode val="edge"/>
          <c:yMode val="edge"/>
          <c:x val="0.26313132791486565"/>
          <c:y val="0.22954452195322117"/>
          <c:w val="0.47373734417026869"/>
          <c:h val="0.1186659730726109"/>
        </c:manualLayout>
      </c:layout>
      <c:overlay val="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en-GB" sz="800">
                <a:solidFill>
                  <a:schemeClr val="accent1">
                    <a:lumMod val="50000"/>
                  </a:schemeClr>
                </a:solidFill>
              </a:rPr>
              <a:t>Training-uri, seminare și sesiuni tematice de informare</a:t>
            </a:r>
            <a:endParaRPr lang="ru-RU" sz="800">
              <a:solidFill>
                <a:schemeClr val="accent1">
                  <a:lumMod val="50000"/>
                </a:schemeClr>
              </a:solidFill>
            </a:endParaRPr>
          </a:p>
        </c:rich>
      </c:tx>
      <c:layout>
        <c:manualLayout>
          <c:xMode val="edge"/>
          <c:yMode val="edge"/>
          <c:x val="0.15520429834746491"/>
          <c:y val="0"/>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7.4958613444694872E-2"/>
          <c:y val="0.27434919014277914"/>
          <c:w val="0.87960561621247157"/>
          <c:h val="0.33167990849728107"/>
        </c:manualLayout>
      </c:layout>
      <c:barChart>
        <c:barDir val="col"/>
        <c:grouping val="clustered"/>
        <c:varyColors val="0"/>
        <c:ser>
          <c:idx val="0"/>
          <c:order val="0"/>
          <c:tx>
            <c:strRef>
              <c:f>Лист1!$C$65</c:f>
              <c:strCache>
                <c:ptCount val="1"/>
                <c:pt idx="0">
                  <c:v>Au avut nevoie</c:v>
                </c:pt>
              </c:strCache>
            </c:strRef>
          </c:tx>
          <c:spPr>
            <a:solidFill>
              <a:schemeClr val="accent1">
                <a:lumMod val="50000"/>
              </a:schemeClr>
            </a:solidFill>
            <a:ln>
              <a:solidFill>
                <a:schemeClr val="accent5">
                  <a:lumMod val="50000"/>
                </a:schemeClr>
              </a:solidFill>
            </a:ln>
            <a:effectLst/>
          </c:spPr>
          <c:invertIfNegative val="0"/>
          <c:dPt>
            <c:idx val="7"/>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1-E4D5-4970-861A-9040B95CA423}"/>
              </c:ext>
            </c:extLst>
          </c:dPt>
          <c:dPt>
            <c:idx val="8"/>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3-E4D5-4970-861A-9040B95CA423}"/>
              </c:ext>
            </c:extLst>
          </c:dPt>
          <c:cat>
            <c:strRef>
              <c:f>Лист1!$B$66:$B$82</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Лист1!$C$66:$C$82</c:f>
              <c:numCache>
                <c:formatCode>General</c:formatCode>
                <c:ptCount val="17"/>
                <c:pt idx="0">
                  <c:v>19</c:v>
                </c:pt>
                <c:pt idx="1">
                  <c:v>25.8</c:v>
                </c:pt>
                <c:pt idx="2">
                  <c:v>25.1</c:v>
                </c:pt>
                <c:pt idx="3">
                  <c:v>22.4</c:v>
                </c:pt>
                <c:pt idx="4">
                  <c:v>20.100000000000001</c:v>
                </c:pt>
                <c:pt idx="5">
                  <c:v>26.9</c:v>
                </c:pt>
                <c:pt idx="6">
                  <c:v>17.2</c:v>
                </c:pt>
                <c:pt idx="7">
                  <c:v>21.2</c:v>
                </c:pt>
                <c:pt idx="8">
                  <c:v>17.8</c:v>
                </c:pt>
                <c:pt idx="9">
                  <c:v>29.4</c:v>
                </c:pt>
                <c:pt idx="10">
                  <c:v>22.4</c:v>
                </c:pt>
                <c:pt idx="11">
                  <c:v>20.9</c:v>
                </c:pt>
                <c:pt idx="12">
                  <c:v>20.6</c:v>
                </c:pt>
                <c:pt idx="13">
                  <c:v>23</c:v>
                </c:pt>
                <c:pt idx="14">
                  <c:v>24.9</c:v>
                </c:pt>
                <c:pt idx="15">
                  <c:v>23.9</c:v>
                </c:pt>
                <c:pt idx="16">
                  <c:v>20.7</c:v>
                </c:pt>
              </c:numCache>
            </c:numRef>
          </c:val>
          <c:extLst xmlns:c16r2="http://schemas.microsoft.com/office/drawing/2015/06/chart">
            <c:ext xmlns:c16="http://schemas.microsoft.com/office/drawing/2014/chart" uri="{C3380CC4-5D6E-409C-BE32-E72D297353CC}">
              <c16:uniqueId val="{00000004-E4D5-4970-861A-9040B95CA423}"/>
            </c:ext>
          </c:extLst>
        </c:ser>
        <c:dLbls>
          <c:showLegendKey val="0"/>
          <c:showVal val="0"/>
          <c:showCatName val="0"/>
          <c:showSerName val="0"/>
          <c:showPercent val="0"/>
          <c:showBubbleSize val="0"/>
        </c:dLbls>
        <c:gapWidth val="30"/>
        <c:overlap val="-27"/>
        <c:axId val="859426064"/>
        <c:axId val="859428240"/>
      </c:barChart>
      <c:lineChart>
        <c:grouping val="standard"/>
        <c:varyColors val="0"/>
        <c:ser>
          <c:idx val="1"/>
          <c:order val="1"/>
          <c:tx>
            <c:strRef>
              <c:f>Лист1!$D$65</c:f>
              <c:strCache>
                <c:ptCount val="1"/>
                <c:pt idx="0">
                  <c:v>Au beneficiat</c:v>
                </c:pt>
              </c:strCache>
            </c:strRef>
          </c:tx>
          <c:spPr>
            <a:ln w="28575" cap="rnd">
              <a:noFill/>
              <a:round/>
            </a:ln>
            <a:effectLst/>
          </c:spPr>
          <c:marker>
            <c:symbol val="diamond"/>
            <c:size val="5"/>
            <c:spPr>
              <a:solidFill>
                <a:schemeClr val="accent2"/>
              </a:solidFill>
              <a:ln w="9525">
                <a:noFill/>
              </a:ln>
              <a:effectLst/>
            </c:spPr>
          </c:marker>
          <c:dPt>
            <c:idx val="7"/>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5-E4D5-4970-861A-9040B95CA423}"/>
              </c:ext>
            </c:extLst>
          </c:dPt>
          <c:dPt>
            <c:idx val="8"/>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6-E4D5-4970-861A-9040B95CA423}"/>
              </c:ext>
            </c:extLst>
          </c:dPt>
          <c:cat>
            <c:strRef>
              <c:f>Лист1!$B$66:$B$82</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Лист1!$D$66:$D$82</c:f>
              <c:numCache>
                <c:formatCode>0.0</c:formatCode>
                <c:ptCount val="17"/>
                <c:pt idx="0">
                  <c:v>9.8610000000000007</c:v>
                </c:pt>
                <c:pt idx="1">
                  <c:v>15.686399999999999</c:v>
                </c:pt>
                <c:pt idx="2">
                  <c:v>15.6624</c:v>
                </c:pt>
                <c:pt idx="3">
                  <c:v>12.208</c:v>
                </c:pt>
                <c:pt idx="4">
                  <c:v>10.793700000000001</c:v>
                </c:pt>
                <c:pt idx="5">
                  <c:v>16.9739</c:v>
                </c:pt>
                <c:pt idx="6">
                  <c:v>10.182399999999999</c:v>
                </c:pt>
                <c:pt idx="7">
                  <c:v>8.4163999999999994</c:v>
                </c:pt>
                <c:pt idx="8">
                  <c:v>7.8320000000000007</c:v>
                </c:pt>
                <c:pt idx="9">
                  <c:v>20.697600000000001</c:v>
                </c:pt>
                <c:pt idx="10">
                  <c:v>12.7904</c:v>
                </c:pt>
                <c:pt idx="11">
                  <c:v>11.3278</c:v>
                </c:pt>
                <c:pt idx="12">
                  <c:v>10.032200000000001</c:v>
                </c:pt>
                <c:pt idx="13">
                  <c:v>14.605</c:v>
                </c:pt>
                <c:pt idx="14">
                  <c:v>13.495799999999999</c:v>
                </c:pt>
                <c:pt idx="15">
                  <c:v>13.240599999999999</c:v>
                </c:pt>
                <c:pt idx="16">
                  <c:v>12.109500000000001</c:v>
                </c:pt>
              </c:numCache>
            </c:numRef>
          </c:val>
          <c:smooth val="0"/>
          <c:extLst xmlns:c16r2="http://schemas.microsoft.com/office/drawing/2015/06/chart">
            <c:ext xmlns:c16="http://schemas.microsoft.com/office/drawing/2014/chart" uri="{C3380CC4-5D6E-409C-BE32-E72D297353CC}">
              <c16:uniqueId val="{00000007-E4D5-4970-861A-9040B95CA423}"/>
            </c:ext>
          </c:extLst>
        </c:ser>
        <c:dLbls>
          <c:showLegendKey val="0"/>
          <c:showVal val="0"/>
          <c:showCatName val="0"/>
          <c:showSerName val="0"/>
          <c:showPercent val="0"/>
          <c:showBubbleSize val="0"/>
        </c:dLbls>
        <c:marker val="1"/>
        <c:smooth val="0"/>
        <c:axId val="859426064"/>
        <c:axId val="859428240"/>
      </c:lineChart>
      <c:catAx>
        <c:axId val="85942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mn-lt"/>
                <a:ea typeface="+mn-ea"/>
                <a:cs typeface="+mn-cs"/>
              </a:defRPr>
            </a:pPr>
            <a:endParaRPr lang="en-US"/>
          </a:p>
        </c:txPr>
        <c:crossAx val="859428240"/>
        <c:crosses val="autoZero"/>
        <c:auto val="1"/>
        <c:lblAlgn val="ctr"/>
        <c:lblOffset val="100"/>
        <c:noMultiLvlLbl val="0"/>
      </c:catAx>
      <c:valAx>
        <c:axId val="859428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859426064"/>
        <c:crosses val="autoZero"/>
        <c:crossBetween val="between"/>
      </c:valAx>
      <c:spPr>
        <a:noFill/>
        <a:ln>
          <a:noFill/>
        </a:ln>
        <a:effectLst/>
      </c:spPr>
    </c:plotArea>
    <c:legend>
      <c:legendPos val="t"/>
      <c:layout>
        <c:manualLayout>
          <c:xMode val="edge"/>
          <c:yMode val="edge"/>
          <c:x val="0.26726200709627451"/>
          <c:y val="0.19671727533853098"/>
          <c:w val="0.47373734417026869"/>
          <c:h val="0.1186659730726109"/>
        </c:manualLayout>
      </c:layout>
      <c:overlay val="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en-GB" sz="800">
                <a:solidFill>
                  <a:schemeClr val="accent1">
                    <a:lumMod val="50000"/>
                  </a:schemeClr>
                </a:solidFill>
              </a:rPr>
              <a:t>Serviciul de participare a tinerilor</a:t>
            </a:r>
            <a:endParaRPr lang="ru-RU" sz="800">
              <a:solidFill>
                <a:schemeClr val="accent1">
                  <a:lumMod val="50000"/>
                </a:schemeClr>
              </a:solidFill>
            </a:endParaRPr>
          </a:p>
        </c:rich>
      </c:tx>
      <c:layout>
        <c:manualLayout>
          <c:xMode val="edge"/>
          <c:yMode val="edge"/>
          <c:x val="0.24092309093333594"/>
          <c:y val="2.4620434961017644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7.4958613444694872E-2"/>
          <c:y val="0.25805899211306016"/>
          <c:w val="0.87960561621247157"/>
          <c:h val="0.34797010652700011"/>
        </c:manualLayout>
      </c:layout>
      <c:barChart>
        <c:barDir val="col"/>
        <c:grouping val="clustered"/>
        <c:varyColors val="0"/>
        <c:ser>
          <c:idx val="0"/>
          <c:order val="0"/>
          <c:tx>
            <c:strRef>
              <c:f>Лист1!$H$4</c:f>
              <c:strCache>
                <c:ptCount val="1"/>
                <c:pt idx="0">
                  <c:v>Au avut nevoie</c:v>
                </c:pt>
              </c:strCache>
            </c:strRef>
          </c:tx>
          <c:spPr>
            <a:solidFill>
              <a:schemeClr val="accent1">
                <a:lumMod val="50000"/>
              </a:schemeClr>
            </a:solidFill>
            <a:ln>
              <a:solidFill>
                <a:schemeClr val="accent5">
                  <a:lumMod val="50000"/>
                </a:schemeClr>
              </a:solidFill>
            </a:ln>
            <a:effectLst/>
          </c:spPr>
          <c:invertIfNegative val="0"/>
          <c:dPt>
            <c:idx val="2"/>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1-5C41-4C9E-999D-D78BB4BCF097}"/>
              </c:ext>
            </c:extLst>
          </c:dPt>
          <c:dPt>
            <c:idx val="10"/>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3-5C41-4C9E-999D-D78BB4BCF097}"/>
              </c:ext>
            </c:extLst>
          </c:dPt>
          <c:cat>
            <c:strRef>
              <c:f>Лист1!$G$5:$G$20</c:f>
              <c:strCache>
                <c:ptCount val="16"/>
                <c:pt idx="0">
                  <c:v>Tineri</c:v>
                </c:pt>
                <c:pt idx="1">
                  <c:v>Tinere</c:v>
                </c:pt>
                <c:pt idx="2">
                  <c:v>15-17 ani</c:v>
                </c:pt>
                <c:pt idx="3">
                  <c:v>18-20 ani</c:v>
                </c:pt>
                <c:pt idx="4">
                  <c:v>21-24 ani</c:v>
                </c:pt>
                <c:pt idx="5">
                  <c:v>Elev/ student</c:v>
                </c:pt>
                <c:pt idx="6">
                  <c:v>Studii incomplete</c:v>
                </c:pt>
                <c:pt idx="7">
                  <c:v>SPT</c:v>
                </c:pt>
                <c:pt idx="8">
                  <c:v>Studii superioare</c:v>
                </c:pt>
                <c:pt idx="9">
                  <c:v>Nu au pers. cu dizabilități</c:v>
                </c:pt>
                <c:pt idx="10">
                  <c:v>Au pers. cu dizabilități</c:v>
                </c:pt>
                <c:pt idx="11">
                  <c:v>Venit scăzut</c:v>
                </c:pt>
                <c:pt idx="12">
                  <c:v>Venit mediu</c:v>
                </c:pt>
                <c:pt idx="13">
                  <c:v>Venit înalt</c:v>
                </c:pt>
                <c:pt idx="14">
                  <c:v>Urban</c:v>
                </c:pt>
                <c:pt idx="15">
                  <c:v>Rural</c:v>
                </c:pt>
              </c:strCache>
            </c:strRef>
          </c:cat>
          <c:val>
            <c:numRef>
              <c:f>Лист1!$H$5:$H$20</c:f>
              <c:numCache>
                <c:formatCode>General</c:formatCode>
                <c:ptCount val="16"/>
                <c:pt idx="0">
                  <c:v>10.6</c:v>
                </c:pt>
                <c:pt idx="1">
                  <c:v>11.5</c:v>
                </c:pt>
                <c:pt idx="2">
                  <c:v>14.8</c:v>
                </c:pt>
                <c:pt idx="3">
                  <c:v>11.8</c:v>
                </c:pt>
                <c:pt idx="4">
                  <c:v>7.8</c:v>
                </c:pt>
                <c:pt idx="5">
                  <c:v>15.7</c:v>
                </c:pt>
                <c:pt idx="6">
                  <c:v>9.6999999999999993</c:v>
                </c:pt>
                <c:pt idx="7">
                  <c:v>9.1999999999999993</c:v>
                </c:pt>
                <c:pt idx="8">
                  <c:v>10.6</c:v>
                </c:pt>
                <c:pt idx="9">
                  <c:v>10.6</c:v>
                </c:pt>
                <c:pt idx="10">
                  <c:v>15</c:v>
                </c:pt>
                <c:pt idx="11">
                  <c:v>13.8</c:v>
                </c:pt>
                <c:pt idx="12">
                  <c:v>10.3</c:v>
                </c:pt>
                <c:pt idx="13">
                  <c:v>10.199999999999999</c:v>
                </c:pt>
                <c:pt idx="14">
                  <c:v>11.1</c:v>
                </c:pt>
                <c:pt idx="15">
                  <c:v>10.9</c:v>
                </c:pt>
              </c:numCache>
            </c:numRef>
          </c:val>
          <c:extLst xmlns:c16r2="http://schemas.microsoft.com/office/drawing/2015/06/chart">
            <c:ext xmlns:c16="http://schemas.microsoft.com/office/drawing/2014/chart" uri="{C3380CC4-5D6E-409C-BE32-E72D297353CC}">
              <c16:uniqueId val="{00000004-5C41-4C9E-999D-D78BB4BCF097}"/>
            </c:ext>
          </c:extLst>
        </c:ser>
        <c:dLbls>
          <c:showLegendKey val="0"/>
          <c:showVal val="0"/>
          <c:showCatName val="0"/>
          <c:showSerName val="0"/>
          <c:showPercent val="0"/>
          <c:showBubbleSize val="0"/>
        </c:dLbls>
        <c:gapWidth val="30"/>
        <c:overlap val="-27"/>
        <c:axId val="859424976"/>
        <c:axId val="859426608"/>
      </c:barChart>
      <c:lineChart>
        <c:grouping val="standard"/>
        <c:varyColors val="0"/>
        <c:ser>
          <c:idx val="1"/>
          <c:order val="1"/>
          <c:tx>
            <c:strRef>
              <c:f>Лист1!$I$4</c:f>
              <c:strCache>
                <c:ptCount val="1"/>
                <c:pt idx="0">
                  <c:v>Au beneficiat</c:v>
                </c:pt>
              </c:strCache>
            </c:strRef>
          </c:tx>
          <c:spPr>
            <a:ln w="28575" cap="rnd">
              <a:noFill/>
              <a:round/>
            </a:ln>
            <a:effectLst/>
          </c:spPr>
          <c:marker>
            <c:symbol val="diamond"/>
            <c:size val="5"/>
            <c:spPr>
              <a:solidFill>
                <a:schemeClr val="accent2"/>
              </a:solidFill>
              <a:ln w="9525">
                <a:noFill/>
              </a:ln>
              <a:effectLst/>
            </c:spPr>
          </c:marker>
          <c:dPt>
            <c:idx val="2"/>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5-5C41-4C9E-999D-D78BB4BCF097}"/>
              </c:ext>
            </c:extLst>
          </c:dPt>
          <c:dPt>
            <c:idx val="10"/>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6-5C41-4C9E-999D-D78BB4BCF097}"/>
              </c:ext>
            </c:extLst>
          </c:dPt>
          <c:cat>
            <c:strRef>
              <c:f>Лист1!$G$5:$G$20</c:f>
              <c:strCache>
                <c:ptCount val="16"/>
                <c:pt idx="0">
                  <c:v>Tineri</c:v>
                </c:pt>
                <c:pt idx="1">
                  <c:v>Tinere</c:v>
                </c:pt>
                <c:pt idx="2">
                  <c:v>15-17 ani</c:v>
                </c:pt>
                <c:pt idx="3">
                  <c:v>18-20 ani</c:v>
                </c:pt>
                <c:pt idx="4">
                  <c:v>21-24 ani</c:v>
                </c:pt>
                <c:pt idx="5">
                  <c:v>Elev/ student</c:v>
                </c:pt>
                <c:pt idx="6">
                  <c:v>Studii incomplete</c:v>
                </c:pt>
                <c:pt idx="7">
                  <c:v>SPT</c:v>
                </c:pt>
                <c:pt idx="8">
                  <c:v>Studii superioare</c:v>
                </c:pt>
                <c:pt idx="9">
                  <c:v>Nu au pers. cu dizabilități</c:v>
                </c:pt>
                <c:pt idx="10">
                  <c:v>Au pers. cu dizabilități</c:v>
                </c:pt>
                <c:pt idx="11">
                  <c:v>Venit scăzut</c:v>
                </c:pt>
                <c:pt idx="12">
                  <c:v>Venit mediu</c:v>
                </c:pt>
                <c:pt idx="13">
                  <c:v>Venit înalt</c:v>
                </c:pt>
                <c:pt idx="14">
                  <c:v>Urban</c:v>
                </c:pt>
                <c:pt idx="15">
                  <c:v>Rural</c:v>
                </c:pt>
              </c:strCache>
            </c:strRef>
          </c:cat>
          <c:val>
            <c:numRef>
              <c:f>Лист1!$I$5:$I$20</c:f>
              <c:numCache>
                <c:formatCode>0.0</c:formatCode>
                <c:ptCount val="16"/>
                <c:pt idx="0">
                  <c:v>5.4907999999999992</c:v>
                </c:pt>
                <c:pt idx="1">
                  <c:v>5.5085000000000006</c:v>
                </c:pt>
                <c:pt idx="2">
                  <c:v>6.0680000000000005</c:v>
                </c:pt>
                <c:pt idx="3">
                  <c:v>5.7466000000000008</c:v>
                </c:pt>
                <c:pt idx="4">
                  <c:v>4.9451999999999998</c:v>
                </c:pt>
                <c:pt idx="5">
                  <c:v>8.4466000000000001</c:v>
                </c:pt>
                <c:pt idx="6">
                  <c:v>4.4619999999999997</c:v>
                </c:pt>
                <c:pt idx="7">
                  <c:v>3.3855999999999993</c:v>
                </c:pt>
                <c:pt idx="8">
                  <c:v>6.1797999999999993</c:v>
                </c:pt>
                <c:pt idx="9">
                  <c:v>5.6603999999999992</c:v>
                </c:pt>
                <c:pt idx="10">
                  <c:v>4.0949999999999998</c:v>
                </c:pt>
                <c:pt idx="11">
                  <c:v>6.2652000000000001</c:v>
                </c:pt>
                <c:pt idx="12">
                  <c:v>6.2418000000000005</c:v>
                </c:pt>
                <c:pt idx="13">
                  <c:v>3.9882</c:v>
                </c:pt>
                <c:pt idx="14">
                  <c:v>5.4944999999999995</c:v>
                </c:pt>
                <c:pt idx="15">
                  <c:v>5.4826999999999995</c:v>
                </c:pt>
              </c:numCache>
            </c:numRef>
          </c:val>
          <c:smooth val="0"/>
          <c:extLst xmlns:c16r2="http://schemas.microsoft.com/office/drawing/2015/06/chart">
            <c:ext xmlns:c16="http://schemas.microsoft.com/office/drawing/2014/chart" uri="{C3380CC4-5D6E-409C-BE32-E72D297353CC}">
              <c16:uniqueId val="{00000007-5C41-4C9E-999D-D78BB4BCF097}"/>
            </c:ext>
          </c:extLst>
        </c:ser>
        <c:dLbls>
          <c:showLegendKey val="0"/>
          <c:showVal val="0"/>
          <c:showCatName val="0"/>
          <c:showSerName val="0"/>
          <c:showPercent val="0"/>
          <c:showBubbleSize val="0"/>
        </c:dLbls>
        <c:marker val="1"/>
        <c:smooth val="0"/>
        <c:axId val="859424976"/>
        <c:axId val="859426608"/>
      </c:lineChart>
      <c:catAx>
        <c:axId val="859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mn-lt"/>
                <a:ea typeface="+mn-ea"/>
                <a:cs typeface="+mn-cs"/>
              </a:defRPr>
            </a:pPr>
            <a:endParaRPr lang="en-US"/>
          </a:p>
        </c:txPr>
        <c:crossAx val="859426608"/>
        <c:crosses val="autoZero"/>
        <c:auto val="1"/>
        <c:lblAlgn val="ctr"/>
        <c:lblOffset val="100"/>
        <c:noMultiLvlLbl val="0"/>
      </c:catAx>
      <c:valAx>
        <c:axId val="8594266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859424976"/>
        <c:crosses val="autoZero"/>
        <c:crossBetween val="between"/>
      </c:valAx>
      <c:spPr>
        <a:noFill/>
        <a:ln>
          <a:noFill/>
        </a:ln>
        <a:effectLst/>
      </c:spPr>
    </c:plotArea>
    <c:legend>
      <c:legendPos val="t"/>
      <c:layout>
        <c:manualLayout>
          <c:xMode val="edge"/>
          <c:yMode val="edge"/>
          <c:x val="0.26313132791486565"/>
          <c:y val="0.15580664234779434"/>
          <c:w val="0.51664008875862122"/>
          <c:h val="0.12362301655255752"/>
        </c:manualLayout>
      </c:layout>
      <c:overlay val="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en-GB" sz="800">
                <a:solidFill>
                  <a:schemeClr val="accent1">
                    <a:lumMod val="50000"/>
                  </a:schemeClr>
                </a:solidFill>
              </a:rPr>
              <a:t>Activități/programe de voluntariat</a:t>
            </a:r>
            <a:endParaRPr lang="ru-RU" sz="800">
              <a:solidFill>
                <a:schemeClr val="accent1">
                  <a:lumMod val="50000"/>
                </a:schemeClr>
              </a:solidFill>
            </a:endParaRPr>
          </a:p>
        </c:rich>
      </c:tx>
      <c:layout>
        <c:manualLayout>
          <c:xMode val="edge"/>
          <c:yMode val="edge"/>
          <c:x val="0.22419446639801996"/>
          <c:y val="3.2827246614690192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7.4958613444694872E-2"/>
          <c:y val="0.29909305038142286"/>
          <c:w val="0.87960561621247157"/>
          <c:h val="0.30693604825863735"/>
        </c:manualLayout>
      </c:layout>
      <c:barChart>
        <c:barDir val="col"/>
        <c:grouping val="clustered"/>
        <c:varyColors val="0"/>
        <c:ser>
          <c:idx val="0"/>
          <c:order val="0"/>
          <c:tx>
            <c:strRef>
              <c:f>Лист1!$C$23</c:f>
              <c:strCache>
                <c:ptCount val="1"/>
                <c:pt idx="0">
                  <c:v>Au avut nevoie</c:v>
                </c:pt>
              </c:strCache>
            </c:strRef>
          </c:tx>
          <c:spPr>
            <a:solidFill>
              <a:schemeClr val="accent1">
                <a:lumMod val="50000"/>
              </a:schemeClr>
            </a:solidFill>
            <a:ln>
              <a:solidFill>
                <a:schemeClr val="accent5">
                  <a:lumMod val="50000"/>
                </a:schemeClr>
              </a:solidFill>
            </a:ln>
            <a:effectLst/>
          </c:spPr>
          <c:invertIfNegative val="0"/>
          <c:dPt>
            <c:idx val="2"/>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1-D350-48FE-A11A-DFF932DAB051}"/>
              </c:ext>
            </c:extLst>
          </c:dPt>
          <c:dPt>
            <c:idx val="11"/>
            <c:invertIfNegative val="0"/>
            <c:bubble3D val="0"/>
            <c:spPr>
              <a:solidFill>
                <a:schemeClr val="tx2">
                  <a:lumMod val="20000"/>
                  <a:lumOff val="80000"/>
                </a:schemeClr>
              </a:solidFill>
              <a:ln>
                <a:solidFill>
                  <a:schemeClr val="accent5">
                    <a:lumMod val="50000"/>
                  </a:schemeClr>
                </a:solidFill>
              </a:ln>
              <a:effectLst/>
            </c:spPr>
            <c:extLst xmlns:c16r2="http://schemas.microsoft.com/office/drawing/2015/06/chart">
              <c:ext xmlns:c16="http://schemas.microsoft.com/office/drawing/2014/chart" uri="{C3380CC4-5D6E-409C-BE32-E72D297353CC}">
                <c16:uniqueId val="{00000003-D350-48FE-A11A-DFF932DAB051}"/>
              </c:ext>
            </c:extLst>
          </c:dPt>
          <c:cat>
            <c:strRef>
              <c:f>Лист1!$B$24:$B$40</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Лист1!$C$24:$C$40</c:f>
              <c:numCache>
                <c:formatCode>General</c:formatCode>
                <c:ptCount val="17"/>
                <c:pt idx="0">
                  <c:v>14.3</c:v>
                </c:pt>
                <c:pt idx="1">
                  <c:v>18.2</c:v>
                </c:pt>
                <c:pt idx="2">
                  <c:v>20.399999999999999</c:v>
                </c:pt>
                <c:pt idx="3">
                  <c:v>19.399999999999999</c:v>
                </c:pt>
                <c:pt idx="4">
                  <c:v>10.9</c:v>
                </c:pt>
                <c:pt idx="5">
                  <c:v>21.5</c:v>
                </c:pt>
                <c:pt idx="6">
                  <c:v>12.4</c:v>
                </c:pt>
                <c:pt idx="7">
                  <c:v>19.100000000000001</c:v>
                </c:pt>
                <c:pt idx="8">
                  <c:v>10</c:v>
                </c:pt>
                <c:pt idx="9">
                  <c:v>16.3</c:v>
                </c:pt>
                <c:pt idx="10">
                  <c:v>15.7</c:v>
                </c:pt>
                <c:pt idx="11">
                  <c:v>20</c:v>
                </c:pt>
                <c:pt idx="12">
                  <c:v>16.7</c:v>
                </c:pt>
                <c:pt idx="13">
                  <c:v>15.4</c:v>
                </c:pt>
                <c:pt idx="14">
                  <c:v>17.5</c:v>
                </c:pt>
                <c:pt idx="15">
                  <c:v>17.2</c:v>
                </c:pt>
                <c:pt idx="16">
                  <c:v>15.2</c:v>
                </c:pt>
              </c:numCache>
            </c:numRef>
          </c:val>
          <c:extLst xmlns:c16r2="http://schemas.microsoft.com/office/drawing/2015/06/chart">
            <c:ext xmlns:c16="http://schemas.microsoft.com/office/drawing/2014/chart" uri="{C3380CC4-5D6E-409C-BE32-E72D297353CC}">
              <c16:uniqueId val="{00000004-D350-48FE-A11A-DFF932DAB051}"/>
            </c:ext>
          </c:extLst>
        </c:ser>
        <c:dLbls>
          <c:showLegendKey val="0"/>
          <c:showVal val="0"/>
          <c:showCatName val="0"/>
          <c:showSerName val="0"/>
          <c:showPercent val="0"/>
          <c:showBubbleSize val="0"/>
        </c:dLbls>
        <c:gapWidth val="30"/>
        <c:overlap val="-27"/>
        <c:axId val="863810080"/>
        <c:axId val="863811168"/>
      </c:barChart>
      <c:lineChart>
        <c:grouping val="standard"/>
        <c:varyColors val="0"/>
        <c:ser>
          <c:idx val="1"/>
          <c:order val="1"/>
          <c:tx>
            <c:strRef>
              <c:f>Лист1!$D$23</c:f>
              <c:strCache>
                <c:ptCount val="1"/>
                <c:pt idx="0">
                  <c:v>Au beneficiat</c:v>
                </c:pt>
              </c:strCache>
            </c:strRef>
          </c:tx>
          <c:spPr>
            <a:ln w="28575" cap="rnd">
              <a:noFill/>
              <a:round/>
            </a:ln>
            <a:effectLst/>
          </c:spPr>
          <c:marker>
            <c:symbol val="diamond"/>
            <c:size val="5"/>
            <c:spPr>
              <a:solidFill>
                <a:schemeClr val="accent2"/>
              </a:solidFill>
              <a:ln w="9525">
                <a:noFill/>
              </a:ln>
              <a:effectLst/>
            </c:spPr>
          </c:marker>
          <c:dPt>
            <c:idx val="2"/>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5-D350-48FE-A11A-DFF932DAB051}"/>
              </c:ext>
            </c:extLst>
          </c:dPt>
          <c:dPt>
            <c:idx val="11"/>
            <c:marker>
              <c:symbol val="diamond"/>
              <c:size val="5"/>
              <c:spPr>
                <a:solidFill>
                  <a:schemeClr val="accent2"/>
                </a:solidFill>
                <a:ln w="9525">
                  <a:noFill/>
                </a:ln>
                <a:effectLst/>
              </c:spPr>
            </c:marker>
            <c:bubble3D val="0"/>
            <c:extLst xmlns:c16r2="http://schemas.microsoft.com/office/drawing/2015/06/chart">
              <c:ext xmlns:c16="http://schemas.microsoft.com/office/drawing/2014/chart" uri="{C3380CC4-5D6E-409C-BE32-E72D297353CC}">
                <c16:uniqueId val="{00000006-D350-48FE-A11A-DFF932DAB051}"/>
              </c:ext>
            </c:extLst>
          </c:dPt>
          <c:cat>
            <c:strRef>
              <c:f>Лист1!$B$24:$B$40</c:f>
              <c:strCache>
                <c:ptCount val="17"/>
                <c:pt idx="0">
                  <c:v>Tineri</c:v>
                </c:pt>
                <c:pt idx="1">
                  <c:v>Tinere</c:v>
                </c:pt>
                <c:pt idx="2">
                  <c:v>15-17 ani</c:v>
                </c:pt>
                <c:pt idx="3">
                  <c:v>18-20 ani</c:v>
                </c:pt>
                <c:pt idx="4">
                  <c:v>21-24 ani</c:v>
                </c:pt>
                <c:pt idx="5">
                  <c:v>Elev/ student</c:v>
                </c:pt>
                <c:pt idx="6">
                  <c:v>Studii incomplete</c:v>
                </c:pt>
                <c:pt idx="7">
                  <c:v>Studii generale</c:v>
                </c:pt>
                <c:pt idx="8">
                  <c:v>SPT</c:v>
                </c:pt>
                <c:pt idx="9">
                  <c:v>Studii superioare</c:v>
                </c:pt>
                <c:pt idx="10">
                  <c:v>Nu au pers. cu dizabilități</c:v>
                </c:pt>
                <c:pt idx="11">
                  <c:v>Au pers. cu dizabilități</c:v>
                </c:pt>
                <c:pt idx="12">
                  <c:v>Venit scăzut</c:v>
                </c:pt>
                <c:pt idx="13">
                  <c:v>Venit mediu</c:v>
                </c:pt>
                <c:pt idx="14">
                  <c:v>Venit înalt</c:v>
                </c:pt>
                <c:pt idx="15">
                  <c:v>Urban</c:v>
                </c:pt>
                <c:pt idx="16">
                  <c:v>Rural</c:v>
                </c:pt>
              </c:strCache>
            </c:strRef>
          </c:cat>
          <c:val>
            <c:numRef>
              <c:f>Лист1!$D$24:$D$40</c:f>
              <c:numCache>
                <c:formatCode>0.0</c:formatCode>
                <c:ptCount val="17"/>
                <c:pt idx="0">
                  <c:v>8.4370000000000012</c:v>
                </c:pt>
                <c:pt idx="1">
                  <c:v>11.447799999999999</c:v>
                </c:pt>
                <c:pt idx="2">
                  <c:v>11.566800000000001</c:v>
                </c:pt>
                <c:pt idx="3">
                  <c:v>12.396599999999999</c:v>
                </c:pt>
                <c:pt idx="4">
                  <c:v>6.9324000000000003</c:v>
                </c:pt>
                <c:pt idx="5">
                  <c:v>13.523499999999999</c:v>
                </c:pt>
                <c:pt idx="6">
                  <c:v>7.5020000000000007</c:v>
                </c:pt>
                <c:pt idx="7">
                  <c:v>11.078000000000001</c:v>
                </c:pt>
                <c:pt idx="8">
                  <c:v>5.42</c:v>
                </c:pt>
                <c:pt idx="9">
                  <c:v>11.067700000000002</c:v>
                </c:pt>
                <c:pt idx="10">
                  <c:v>9.8909999999999982</c:v>
                </c:pt>
                <c:pt idx="11">
                  <c:v>9.48</c:v>
                </c:pt>
                <c:pt idx="12">
                  <c:v>10.4375</c:v>
                </c:pt>
                <c:pt idx="13">
                  <c:v>9.4093999999999998</c:v>
                </c:pt>
                <c:pt idx="14">
                  <c:v>10.1675</c:v>
                </c:pt>
                <c:pt idx="15">
                  <c:v>9.2535999999999987</c:v>
                </c:pt>
                <c:pt idx="16">
                  <c:v>10.488</c:v>
                </c:pt>
              </c:numCache>
            </c:numRef>
          </c:val>
          <c:smooth val="0"/>
          <c:extLst xmlns:c16r2="http://schemas.microsoft.com/office/drawing/2015/06/chart">
            <c:ext xmlns:c16="http://schemas.microsoft.com/office/drawing/2014/chart" uri="{C3380CC4-5D6E-409C-BE32-E72D297353CC}">
              <c16:uniqueId val="{00000007-D350-48FE-A11A-DFF932DAB051}"/>
            </c:ext>
          </c:extLst>
        </c:ser>
        <c:dLbls>
          <c:showLegendKey val="0"/>
          <c:showVal val="0"/>
          <c:showCatName val="0"/>
          <c:showSerName val="0"/>
          <c:showPercent val="0"/>
          <c:showBubbleSize val="0"/>
        </c:dLbls>
        <c:marker val="1"/>
        <c:smooth val="0"/>
        <c:axId val="863810080"/>
        <c:axId val="863811168"/>
      </c:lineChart>
      <c:catAx>
        <c:axId val="86381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mn-lt"/>
                <a:ea typeface="+mn-ea"/>
                <a:cs typeface="+mn-cs"/>
              </a:defRPr>
            </a:pPr>
            <a:endParaRPr lang="en-US"/>
          </a:p>
        </c:txPr>
        <c:crossAx val="863811168"/>
        <c:crosses val="autoZero"/>
        <c:auto val="1"/>
        <c:lblAlgn val="ctr"/>
        <c:lblOffset val="100"/>
        <c:noMultiLvlLbl val="0"/>
      </c:catAx>
      <c:valAx>
        <c:axId val="863811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863810080"/>
        <c:crosses val="autoZero"/>
        <c:crossBetween val="between"/>
      </c:valAx>
      <c:spPr>
        <a:noFill/>
        <a:ln>
          <a:noFill/>
        </a:ln>
        <a:effectLst/>
      </c:spPr>
    </c:plotArea>
    <c:legend>
      <c:legendPos val="t"/>
      <c:layout>
        <c:manualLayout>
          <c:xMode val="edge"/>
          <c:yMode val="edge"/>
          <c:x val="0.25900080333824443"/>
          <c:y val="0.16401345400146689"/>
          <c:w val="0.47373734417026869"/>
          <c:h val="0.1186659730726109"/>
        </c:manualLayout>
      </c:layout>
      <c:overlay val="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o-RO" sz="900">
                <a:solidFill>
                  <a:schemeClr val="accent1">
                    <a:lumMod val="50000"/>
                  </a:schemeClr>
                </a:solidFill>
              </a:rPr>
              <a:t>Participare</a:t>
            </a:r>
            <a:r>
              <a:rPr lang="ro-RO" sz="900" baseline="0">
                <a:solidFill>
                  <a:schemeClr val="accent1">
                    <a:lumMod val="50000"/>
                  </a:schemeClr>
                </a:solidFill>
              </a:rPr>
              <a:t>a tinerilor în ultimele 12 luni, %</a:t>
            </a:r>
            <a:endParaRPr lang="en-GB" sz="900">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25576796022918041"/>
          <c:y val="0.24390559966615052"/>
          <c:w val="0.66453876896749664"/>
          <c:h val="0.67380709210511869"/>
        </c:manualLayout>
      </c:layout>
      <c:doughnutChart>
        <c:varyColors val="1"/>
        <c:ser>
          <c:idx val="0"/>
          <c:order val="0"/>
          <c:tx>
            <c:strRef>
              <c:f>Лист1!$M$5</c:f>
              <c:strCache>
                <c:ptCount val="1"/>
                <c:pt idx="0">
                  <c:v>Particiaprea</c:v>
                </c:pt>
              </c:strCache>
            </c:strRef>
          </c:tx>
          <c:dPt>
            <c:idx val="0"/>
            <c:bubble3D val="0"/>
            <c:explosion val="8"/>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5CD5-4B78-91E7-68DED1AE06A0}"/>
              </c:ext>
            </c:extLst>
          </c:dPt>
          <c:dPt>
            <c:idx val="1"/>
            <c:bubble3D val="0"/>
            <c:spPr>
              <a:solidFill>
                <a:schemeClr val="accent5">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5CD5-4B78-91E7-68DED1AE06A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CD5-4B78-91E7-68DED1AE06A0}"/>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dLbl>
            <c:dLbl>
              <c:idx val="2"/>
              <c:layout>
                <c:manualLayout>
                  <c:x val="1.1004126547455296E-2"/>
                  <c:y val="-0.12831241283124131"/>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CD5-4B78-91E7-68DED1AE06A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Лист1!$N$4:$P$4</c:f>
              <c:strCache>
                <c:ptCount val="3"/>
                <c:pt idx="0">
                  <c:v>Da</c:v>
                </c:pt>
                <c:pt idx="1">
                  <c:v>Nu</c:v>
                </c:pt>
                <c:pt idx="2">
                  <c:v>NȘ/NR</c:v>
                </c:pt>
              </c:strCache>
            </c:strRef>
          </c:cat>
          <c:val>
            <c:numRef>
              <c:f>Лист1!$N$5:$P$5</c:f>
              <c:numCache>
                <c:formatCode>0.0</c:formatCode>
                <c:ptCount val="3"/>
                <c:pt idx="0">
                  <c:v>18.433333333333334</c:v>
                </c:pt>
                <c:pt idx="1">
                  <c:v>80.7</c:v>
                </c:pt>
                <c:pt idx="2">
                  <c:v>0.86666666666666659</c:v>
                </c:pt>
              </c:numCache>
            </c:numRef>
          </c:val>
          <c:extLst xmlns:c16r2="http://schemas.microsoft.com/office/drawing/2015/06/chart">
            <c:ext xmlns:c16="http://schemas.microsoft.com/office/drawing/2014/chart" uri="{C3380CC4-5D6E-409C-BE32-E72D297353CC}">
              <c16:uniqueId val="{00000006-5CD5-4B78-91E7-68DED1AE06A0}"/>
            </c:ext>
          </c:extLst>
        </c:ser>
        <c:dLbls>
          <c:showLegendKey val="0"/>
          <c:showVal val="0"/>
          <c:showCatName val="0"/>
          <c:showSerName val="0"/>
          <c:showPercent val="0"/>
          <c:showBubbleSize val="0"/>
          <c:showLeaderLines val="1"/>
        </c:dLbls>
        <c:firstSliceAng val="24"/>
        <c:holeSize val="52"/>
      </c:doughnutChart>
      <c:spPr>
        <a:noFill/>
        <a:ln>
          <a:noFill/>
        </a:ln>
        <a:effectLst/>
      </c:spPr>
    </c:plotArea>
    <c:legend>
      <c:legendPos val="l"/>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r>
              <a:rPr lang="ro-RO" sz="900">
                <a:solidFill>
                  <a:schemeClr val="accent1">
                    <a:lumMod val="50000"/>
                  </a:schemeClr>
                </a:solidFill>
              </a:rPr>
              <a:t>Î</a:t>
            </a:r>
            <a:r>
              <a:rPr lang="en-GB" sz="900">
                <a:solidFill>
                  <a:schemeClr val="accent1">
                    <a:lumMod val="50000"/>
                  </a:schemeClr>
                </a:solidFill>
              </a:rPr>
              <a:t>n ultimele 12 luni ai </a:t>
            </a:r>
            <a:r>
              <a:rPr lang="ro-RO" sz="900">
                <a:solidFill>
                  <a:schemeClr val="accent1">
                    <a:lumMod val="50000"/>
                  </a:schemeClr>
                </a:solidFill>
              </a:rPr>
              <a:t>participat</a:t>
            </a:r>
            <a:r>
              <a:rPr lang="en-GB" sz="900">
                <a:solidFill>
                  <a:schemeClr val="accent1">
                    <a:lumMod val="50000"/>
                  </a:schemeClr>
                </a:solidFill>
              </a:rPr>
              <a:t> vreodată</a:t>
            </a:r>
            <a:r>
              <a:rPr lang="ro-RO" sz="900">
                <a:solidFill>
                  <a:schemeClr val="accent1">
                    <a:lumMod val="50000"/>
                  </a:schemeClr>
                </a:solidFill>
              </a:rPr>
              <a:t> la</a:t>
            </a:r>
            <a:r>
              <a:rPr lang="en-GB" sz="900">
                <a:solidFill>
                  <a:schemeClr val="accent1">
                    <a:lumMod val="50000"/>
                  </a:schemeClr>
                </a:solidFill>
              </a:rPr>
              <a:t> ….  ?</a:t>
            </a:r>
            <a:endParaRPr lang="ru-RU" sz="900">
              <a:solidFill>
                <a:schemeClr val="accent1">
                  <a:lumMod val="50000"/>
                </a:schemeClr>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48856130061844333"/>
          <c:y val="0.38798355628225345"/>
          <c:w val="0.43936417290737728"/>
          <c:h val="0.56121482159678782"/>
        </c:manualLayout>
      </c:layout>
      <c:barChart>
        <c:barDir val="bar"/>
        <c:grouping val="stacked"/>
        <c:varyColors val="0"/>
        <c:ser>
          <c:idx val="0"/>
          <c:order val="0"/>
          <c:tx>
            <c:strRef>
              <c:f>Лист1!$D$27</c:f>
              <c:strCache>
                <c:ptCount val="1"/>
                <c:pt idx="0">
                  <c:v>Da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Лист1!$C$28:$C$30</c:f>
              <c:strCache>
                <c:ptCount val="3"/>
                <c:pt idx="0">
                  <c:v>Proiecte, ședințe, adunări unde s-au luat decizii pentru localitate, organizație, centru de tineret</c:v>
                </c:pt>
                <c:pt idx="1">
                  <c:v>Demonstrații stradale, mitinguri,  semnat petiții</c:v>
                </c:pt>
                <c:pt idx="2">
                  <c:v>Ședințele de lucru al ONG/ centru de tineret/în calitate de voluntar</c:v>
                </c:pt>
              </c:strCache>
            </c:strRef>
          </c:cat>
          <c:val>
            <c:numRef>
              <c:f>Лист1!$D$28:$D$30</c:f>
              <c:numCache>
                <c:formatCode>General</c:formatCode>
                <c:ptCount val="3"/>
                <c:pt idx="0">
                  <c:v>24.4</c:v>
                </c:pt>
                <c:pt idx="1">
                  <c:v>11.7</c:v>
                </c:pt>
                <c:pt idx="2">
                  <c:v>19.2</c:v>
                </c:pt>
              </c:numCache>
            </c:numRef>
          </c:val>
          <c:extLst xmlns:c16r2="http://schemas.microsoft.com/office/drawing/2015/06/chart">
            <c:ext xmlns:c16="http://schemas.microsoft.com/office/drawing/2014/chart" uri="{C3380CC4-5D6E-409C-BE32-E72D297353CC}">
              <c16:uniqueId val="{00000000-943B-4971-9F75-972C26D9947C}"/>
            </c:ext>
          </c:extLst>
        </c:ser>
        <c:ser>
          <c:idx val="1"/>
          <c:order val="1"/>
          <c:tx>
            <c:strRef>
              <c:f>Лист1!$E$27</c:f>
              <c:strCache>
                <c:ptCount val="1"/>
                <c:pt idx="0">
                  <c:v>Nu</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Лист1!$C$28:$C$30</c:f>
              <c:strCache>
                <c:ptCount val="3"/>
                <c:pt idx="0">
                  <c:v>Proiecte, ședințe, adunări unde s-au luat decizii pentru localitate, organizație, centru de tineret</c:v>
                </c:pt>
                <c:pt idx="1">
                  <c:v>Demonstrații stradale, mitinguri,  semnat petiții</c:v>
                </c:pt>
                <c:pt idx="2">
                  <c:v>Ședințele de lucru al ONG/ centru de tineret/în calitate de voluntar</c:v>
                </c:pt>
              </c:strCache>
            </c:strRef>
          </c:cat>
          <c:val>
            <c:numRef>
              <c:f>Лист1!$E$28:$E$30</c:f>
              <c:numCache>
                <c:formatCode>General</c:formatCode>
                <c:ptCount val="3"/>
                <c:pt idx="0">
                  <c:v>75.400000000000006</c:v>
                </c:pt>
                <c:pt idx="1">
                  <c:v>87.1</c:v>
                </c:pt>
                <c:pt idx="2">
                  <c:v>79.599999999999994</c:v>
                </c:pt>
              </c:numCache>
            </c:numRef>
          </c:val>
          <c:extLst xmlns:c16r2="http://schemas.microsoft.com/office/drawing/2015/06/chart">
            <c:ext xmlns:c16="http://schemas.microsoft.com/office/drawing/2014/chart" uri="{C3380CC4-5D6E-409C-BE32-E72D297353CC}">
              <c16:uniqueId val="{00000001-943B-4971-9F75-972C26D9947C}"/>
            </c:ext>
          </c:extLst>
        </c:ser>
        <c:ser>
          <c:idx val="2"/>
          <c:order val="2"/>
          <c:tx>
            <c:strRef>
              <c:f>Лист1!$F$27</c:f>
              <c:strCache>
                <c:ptCount val="1"/>
                <c:pt idx="0">
                  <c:v>NȘ/NR</c:v>
                </c:pt>
              </c:strCache>
            </c:strRef>
          </c:tx>
          <c:spPr>
            <a:solidFill>
              <a:schemeClr val="accent3"/>
            </a:solidFill>
            <a:ln>
              <a:noFill/>
            </a:ln>
            <a:effectLst/>
          </c:spPr>
          <c:invertIfNegative val="0"/>
          <c:dLbls>
            <c:dLbl>
              <c:idx val="0"/>
              <c:layout>
                <c:manualLayout>
                  <c:x val="2.222222222222211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43B-4971-9F75-972C26D9947C}"/>
                </c:ext>
                <c:ext xmlns:c15="http://schemas.microsoft.com/office/drawing/2012/chart" uri="{CE6537A1-D6FC-4f65-9D91-7224C49458BB}"/>
              </c:extLst>
            </c:dLbl>
            <c:dLbl>
              <c:idx val="1"/>
              <c:layout>
                <c:manualLayout>
                  <c:x val="2.495733997989001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43B-4971-9F75-972C26D9947C}"/>
                </c:ext>
                <c:ext xmlns:c15="http://schemas.microsoft.com/office/drawing/2012/chart" uri="{CE6537A1-D6FC-4f65-9D91-7224C49458BB}"/>
              </c:extLst>
            </c:dLbl>
            <c:dLbl>
              <c:idx val="2"/>
              <c:layout>
                <c:manualLayout>
                  <c:x val="2.773037775543325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43B-4971-9F75-972C26D9947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Лист1!$C$28:$C$30</c:f>
              <c:strCache>
                <c:ptCount val="3"/>
                <c:pt idx="0">
                  <c:v>Proiecte, ședințe, adunări unde s-au luat decizii pentru localitate, organizație, centru de tineret</c:v>
                </c:pt>
                <c:pt idx="1">
                  <c:v>Demonstrații stradale, mitinguri,  semnat petiții</c:v>
                </c:pt>
                <c:pt idx="2">
                  <c:v>Ședințele de lucru al ONG/ centru de tineret/în calitate de voluntar</c:v>
                </c:pt>
              </c:strCache>
            </c:strRef>
          </c:cat>
          <c:val>
            <c:numRef>
              <c:f>Лист1!$F$28:$F$30</c:f>
              <c:numCache>
                <c:formatCode>General</c:formatCode>
                <c:ptCount val="3"/>
                <c:pt idx="0">
                  <c:v>0.2</c:v>
                </c:pt>
                <c:pt idx="1">
                  <c:v>1.2</c:v>
                </c:pt>
                <c:pt idx="2">
                  <c:v>1.2</c:v>
                </c:pt>
              </c:numCache>
            </c:numRef>
          </c:val>
          <c:extLst xmlns:c16r2="http://schemas.microsoft.com/office/drawing/2015/06/chart">
            <c:ext xmlns:c16="http://schemas.microsoft.com/office/drawing/2014/chart" uri="{C3380CC4-5D6E-409C-BE32-E72D297353CC}">
              <c16:uniqueId val="{00000005-943B-4971-9F75-972C26D9947C}"/>
            </c:ext>
          </c:extLst>
        </c:ser>
        <c:dLbls>
          <c:showLegendKey val="0"/>
          <c:showVal val="0"/>
          <c:showCatName val="0"/>
          <c:showSerName val="0"/>
          <c:showPercent val="0"/>
          <c:showBubbleSize val="0"/>
        </c:dLbls>
        <c:gapWidth val="61"/>
        <c:overlap val="100"/>
        <c:axId val="863806816"/>
        <c:axId val="863809536"/>
      </c:barChart>
      <c:catAx>
        <c:axId val="8638068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863809536"/>
        <c:crosses val="autoZero"/>
        <c:auto val="1"/>
        <c:lblAlgn val="ctr"/>
        <c:lblOffset val="100"/>
        <c:noMultiLvlLbl val="0"/>
      </c:catAx>
      <c:valAx>
        <c:axId val="863809536"/>
        <c:scaling>
          <c:orientation val="minMax"/>
          <c:max val="100"/>
        </c:scaling>
        <c:delete val="0"/>
        <c:axPos val="t"/>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638068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ro-RO" sz="800">
                <a:solidFill>
                  <a:schemeClr val="accent1">
                    <a:lumMod val="50000"/>
                  </a:schemeClr>
                </a:solidFill>
              </a:rPr>
              <a:t>Membri ai ONG-urilor</a:t>
            </a:r>
            <a:endParaRPr lang="ru-RU" sz="800">
              <a:solidFill>
                <a:schemeClr val="accent1">
                  <a:lumMod val="50000"/>
                </a:schemeClr>
              </a:solidFill>
            </a:endParaRPr>
          </a:p>
        </c:rich>
      </c:tx>
      <c:layout>
        <c:manualLayout>
          <c:xMode val="edge"/>
          <c:yMode val="edge"/>
          <c:x val="0.34775406798082714"/>
          <c:y val="1.1251211841763023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5.3953178554451989E-2"/>
          <c:y val="0.21322208034806461"/>
          <c:w val="0.93521834580070551"/>
          <c:h val="0.6269153011278995"/>
        </c:manualLayout>
      </c:layout>
      <c:barChart>
        <c:barDir val="col"/>
        <c:grouping val="clustered"/>
        <c:varyColors val="0"/>
        <c:ser>
          <c:idx val="0"/>
          <c:order val="0"/>
          <c:tx>
            <c:strRef>
              <c:f>membru!$D$50</c:f>
              <c:strCache>
                <c:ptCount val="1"/>
                <c:pt idx="0">
                  <c:v>2016</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membru!$B$51:$C$56</c:f>
              <c:strCache>
                <c:ptCount val="6"/>
                <c:pt idx="0">
                  <c:v>18-29 ani</c:v>
                </c:pt>
                <c:pt idx="1">
                  <c:v>30-44 ani</c:v>
                </c:pt>
                <c:pt idx="2">
                  <c:v>Bărbați</c:v>
                </c:pt>
                <c:pt idx="3">
                  <c:v>Femei</c:v>
                </c:pt>
                <c:pt idx="4">
                  <c:v>Urban</c:v>
                </c:pt>
                <c:pt idx="5">
                  <c:v>Rural</c:v>
                </c:pt>
              </c:strCache>
            </c:strRef>
          </c:cat>
          <c:val>
            <c:numRef>
              <c:f>membru!$D$51:$D$56</c:f>
              <c:numCache>
                <c:formatCode>General</c:formatCode>
                <c:ptCount val="6"/>
                <c:pt idx="0">
                  <c:v>2</c:v>
                </c:pt>
                <c:pt idx="1">
                  <c:v>0.7</c:v>
                </c:pt>
                <c:pt idx="2">
                  <c:v>0.3</c:v>
                </c:pt>
                <c:pt idx="3">
                  <c:v>1.4</c:v>
                </c:pt>
                <c:pt idx="4">
                  <c:v>1.5</c:v>
                </c:pt>
                <c:pt idx="5">
                  <c:v>0.4</c:v>
                </c:pt>
              </c:numCache>
            </c:numRef>
          </c:val>
          <c:extLst xmlns:c16r2="http://schemas.microsoft.com/office/drawing/2015/06/chart">
            <c:ext xmlns:c16="http://schemas.microsoft.com/office/drawing/2014/chart" uri="{C3380CC4-5D6E-409C-BE32-E72D297353CC}">
              <c16:uniqueId val="{00000000-62E3-46D7-8604-57090169EB1D}"/>
            </c:ext>
          </c:extLst>
        </c:ser>
        <c:ser>
          <c:idx val="1"/>
          <c:order val="1"/>
          <c:tx>
            <c:strRef>
              <c:f>membru!$E$50</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membru!$B$51:$C$56</c:f>
              <c:strCache>
                <c:ptCount val="6"/>
                <c:pt idx="0">
                  <c:v>18-29 ani</c:v>
                </c:pt>
                <c:pt idx="1">
                  <c:v>30-44 ani</c:v>
                </c:pt>
                <c:pt idx="2">
                  <c:v>Bărbați</c:v>
                </c:pt>
                <c:pt idx="3">
                  <c:v>Femei</c:v>
                </c:pt>
                <c:pt idx="4">
                  <c:v>Urban</c:v>
                </c:pt>
                <c:pt idx="5">
                  <c:v>Rural</c:v>
                </c:pt>
              </c:strCache>
            </c:strRef>
          </c:cat>
          <c:val>
            <c:numRef>
              <c:f>membru!$E$51:$E$56</c:f>
              <c:numCache>
                <c:formatCode>0.0</c:formatCode>
                <c:ptCount val="6"/>
                <c:pt idx="0">
                  <c:v>4.2181818181818178</c:v>
                </c:pt>
                <c:pt idx="1">
                  <c:v>1</c:v>
                </c:pt>
                <c:pt idx="2">
                  <c:v>1.6583333333333332</c:v>
                </c:pt>
                <c:pt idx="3">
                  <c:v>1.4272727272727275</c:v>
                </c:pt>
                <c:pt idx="4">
                  <c:v>1.9454545454545453</c:v>
                </c:pt>
                <c:pt idx="5">
                  <c:v>1.2083333333333333</c:v>
                </c:pt>
              </c:numCache>
            </c:numRef>
          </c:val>
          <c:extLst xmlns:c16r2="http://schemas.microsoft.com/office/drawing/2015/06/chart">
            <c:ext xmlns:c16="http://schemas.microsoft.com/office/drawing/2014/chart" uri="{C3380CC4-5D6E-409C-BE32-E72D297353CC}">
              <c16:uniqueId val="{00000001-62E3-46D7-8604-57090169EB1D}"/>
            </c:ext>
          </c:extLst>
        </c:ser>
        <c:dLbls>
          <c:showLegendKey val="0"/>
          <c:showVal val="0"/>
          <c:showCatName val="0"/>
          <c:showSerName val="0"/>
          <c:showPercent val="0"/>
          <c:showBubbleSize val="0"/>
        </c:dLbls>
        <c:gapWidth val="74"/>
        <c:axId val="684157520"/>
        <c:axId val="684169488"/>
      </c:barChart>
      <c:catAx>
        <c:axId val="68415752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84169488"/>
        <c:crosses val="autoZero"/>
        <c:auto val="1"/>
        <c:lblAlgn val="ctr"/>
        <c:lblOffset val="100"/>
        <c:noMultiLvlLbl val="0"/>
      </c:catAx>
      <c:valAx>
        <c:axId val="684169488"/>
        <c:scaling>
          <c:orientation val="minMax"/>
          <c:max val="6"/>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n-US"/>
          </a:p>
        </c:txPr>
        <c:crossAx val="684157520"/>
        <c:crosses val="autoZero"/>
        <c:crossBetween val="between"/>
      </c:valAx>
      <c:spPr>
        <a:noFill/>
        <a:ln>
          <a:noFill/>
        </a:ln>
        <a:effectLst/>
      </c:spPr>
    </c:plotArea>
    <c:legend>
      <c:legendPos val="t"/>
      <c:layout>
        <c:manualLayout>
          <c:xMode val="edge"/>
          <c:yMode val="edge"/>
          <c:x val="0.38474082993846226"/>
          <c:y val="0.11113653023101842"/>
          <c:w val="0.23838032573615872"/>
          <c:h val="0.1028811371913953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r>
              <a:rPr lang="ro-RO" sz="800">
                <a:solidFill>
                  <a:schemeClr val="accent1">
                    <a:lumMod val="50000"/>
                  </a:schemeClr>
                </a:solidFill>
              </a:rPr>
              <a:t>Membri ai grupurilor comunitare/de inițiativă</a:t>
            </a:r>
            <a:endParaRPr lang="ru-RU" sz="800">
              <a:solidFill>
                <a:schemeClr val="accent1">
                  <a:lumMod val="50000"/>
                </a:schemeClr>
              </a:solidFill>
            </a:endParaRPr>
          </a:p>
        </c:rich>
      </c:tx>
      <c:layout>
        <c:manualLayout>
          <c:xMode val="edge"/>
          <c:yMode val="edge"/>
          <c:x val="0.19432367710565243"/>
          <c:y val="1.5015015015015015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5.959343013884006E-2"/>
          <c:y val="0.23168286396632853"/>
          <c:w val="0.92355737019814399"/>
          <c:h val="0.60809392069234591"/>
        </c:manualLayout>
      </c:layout>
      <c:barChart>
        <c:barDir val="col"/>
        <c:grouping val="clustered"/>
        <c:varyColors val="0"/>
        <c:ser>
          <c:idx val="0"/>
          <c:order val="0"/>
          <c:tx>
            <c:strRef>
              <c:f>membru!$D$73</c:f>
              <c:strCache>
                <c:ptCount val="1"/>
                <c:pt idx="0">
                  <c:v>2016</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membru!$B$74:$C$79</c:f>
              <c:strCache>
                <c:ptCount val="6"/>
                <c:pt idx="0">
                  <c:v>18-29 ani</c:v>
                </c:pt>
                <c:pt idx="1">
                  <c:v>30-44 ani</c:v>
                </c:pt>
                <c:pt idx="2">
                  <c:v>Bărbați</c:v>
                </c:pt>
                <c:pt idx="3">
                  <c:v>Femei</c:v>
                </c:pt>
                <c:pt idx="4">
                  <c:v>Urban</c:v>
                </c:pt>
                <c:pt idx="5">
                  <c:v>Rural</c:v>
                </c:pt>
              </c:strCache>
            </c:strRef>
          </c:cat>
          <c:val>
            <c:numRef>
              <c:f>membru!$D$74:$D$79</c:f>
              <c:numCache>
                <c:formatCode>General</c:formatCode>
                <c:ptCount val="6"/>
                <c:pt idx="0">
                  <c:v>2</c:v>
                </c:pt>
                <c:pt idx="1">
                  <c:v>0.8</c:v>
                </c:pt>
                <c:pt idx="2">
                  <c:v>0.8</c:v>
                </c:pt>
                <c:pt idx="3">
                  <c:v>1.4</c:v>
                </c:pt>
                <c:pt idx="4">
                  <c:v>0.9</c:v>
                </c:pt>
                <c:pt idx="5">
                  <c:v>1.2</c:v>
                </c:pt>
              </c:numCache>
            </c:numRef>
          </c:val>
          <c:extLst xmlns:c16r2="http://schemas.microsoft.com/office/drawing/2015/06/chart">
            <c:ext xmlns:c16="http://schemas.microsoft.com/office/drawing/2014/chart" uri="{C3380CC4-5D6E-409C-BE32-E72D297353CC}">
              <c16:uniqueId val="{00000000-B1C3-486F-8809-6EFA0AABBBAD}"/>
            </c:ext>
          </c:extLst>
        </c:ser>
        <c:ser>
          <c:idx val="1"/>
          <c:order val="1"/>
          <c:tx>
            <c:strRef>
              <c:f>membru!$E$73</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membru!$B$74:$C$79</c:f>
              <c:strCache>
                <c:ptCount val="6"/>
                <c:pt idx="0">
                  <c:v>18-29 ani</c:v>
                </c:pt>
                <c:pt idx="1">
                  <c:v>30-44 ani</c:v>
                </c:pt>
                <c:pt idx="2">
                  <c:v>Bărbați</c:v>
                </c:pt>
                <c:pt idx="3">
                  <c:v>Femei</c:v>
                </c:pt>
                <c:pt idx="4">
                  <c:v>Urban</c:v>
                </c:pt>
                <c:pt idx="5">
                  <c:v>Rural</c:v>
                </c:pt>
              </c:strCache>
            </c:strRef>
          </c:cat>
          <c:val>
            <c:numRef>
              <c:f>membru!$E$74:$E$79</c:f>
              <c:numCache>
                <c:formatCode>General</c:formatCode>
                <c:ptCount val="6"/>
                <c:pt idx="0">
                  <c:v>9.3000000000000007</c:v>
                </c:pt>
                <c:pt idx="1">
                  <c:v>1.8</c:v>
                </c:pt>
                <c:pt idx="2">
                  <c:v>4.0999999999999996</c:v>
                </c:pt>
                <c:pt idx="3">
                  <c:v>2.6</c:v>
                </c:pt>
                <c:pt idx="4">
                  <c:v>3.6</c:v>
                </c:pt>
                <c:pt idx="5">
                  <c:v>3</c:v>
                </c:pt>
              </c:numCache>
            </c:numRef>
          </c:val>
          <c:extLst xmlns:c16r2="http://schemas.microsoft.com/office/drawing/2015/06/chart">
            <c:ext xmlns:c16="http://schemas.microsoft.com/office/drawing/2014/chart" uri="{C3380CC4-5D6E-409C-BE32-E72D297353CC}">
              <c16:uniqueId val="{00000001-B1C3-486F-8809-6EFA0AABBBAD}"/>
            </c:ext>
          </c:extLst>
        </c:ser>
        <c:dLbls>
          <c:showLegendKey val="0"/>
          <c:showVal val="0"/>
          <c:showCatName val="0"/>
          <c:showSerName val="0"/>
          <c:showPercent val="0"/>
          <c:showBubbleSize val="0"/>
        </c:dLbls>
        <c:gapWidth val="72"/>
        <c:axId val="684158064"/>
        <c:axId val="684159152"/>
      </c:barChart>
      <c:catAx>
        <c:axId val="6841580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84159152"/>
        <c:crosses val="autoZero"/>
        <c:auto val="1"/>
        <c:lblAlgn val="ctr"/>
        <c:lblOffset val="100"/>
        <c:noMultiLvlLbl val="0"/>
      </c:catAx>
      <c:valAx>
        <c:axId val="6841591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lumMod val="50000"/>
                  </a:schemeClr>
                </a:solidFill>
                <a:latin typeface="+mn-lt"/>
                <a:ea typeface="+mn-ea"/>
                <a:cs typeface="+mn-cs"/>
              </a:defRPr>
            </a:pPr>
            <a:endParaRPr lang="en-US"/>
          </a:p>
        </c:txPr>
        <c:crossAx val="684158064"/>
        <c:crosses val="autoZero"/>
        <c:crossBetween val="between"/>
      </c:valAx>
      <c:spPr>
        <a:noFill/>
        <a:ln>
          <a:noFill/>
        </a:ln>
        <a:effectLst/>
      </c:spPr>
    </c:plotArea>
    <c:legend>
      <c:legendPos val="t"/>
      <c:layout>
        <c:manualLayout>
          <c:xMode val="edge"/>
          <c:yMode val="edge"/>
          <c:x val="0.39777345123350738"/>
          <c:y val="0.10334113641200256"/>
          <c:w val="0.22130196551884257"/>
          <c:h val="0.1085544205622945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rgbClr val="00206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dDwnOzUAyLDBau1uKYkhSGNHrg==">AMUW2mXs1ik2NNTPsE0ATCNK7cbTtnVyHf5+XdfRBoZ33LquzF3vipWjWbb6GuOUjd1GnSE3K9UYpoV2skYUb2Vcwsw90oP2XXRlNH43Ik8isiScyhrlHHXyaFzMr4vXmHCKEmqxPong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11610</Words>
  <Characters>66183</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MECC</cp:lastModifiedBy>
  <cp:revision>10</cp:revision>
  <dcterms:created xsi:type="dcterms:W3CDTF">2022-10-24T07:40:00Z</dcterms:created>
  <dcterms:modified xsi:type="dcterms:W3CDTF">2022-11-10T13:45:00Z</dcterms:modified>
</cp:coreProperties>
</file>