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2E1" w:rsidRPr="007C737B" w:rsidRDefault="005746A5" w:rsidP="00930D6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Ministry of Education</w:t>
      </w:r>
      <w:r w:rsidR="00816194" w:rsidRPr="007C737B">
        <w:rPr>
          <w:rFonts w:ascii="Times New Roman" w:eastAsia="Times New Roman" w:hAnsi="Times New Roman" w:cs="Times New Roman"/>
          <w:b/>
          <w:sz w:val="24"/>
          <w:szCs w:val="24"/>
        </w:rPr>
        <w:t xml:space="preserve"> and Research </w:t>
      </w:r>
      <w:r>
        <w:rPr>
          <w:rFonts w:ascii="Times New Roman" w:eastAsia="Times New Roman" w:hAnsi="Times New Roman" w:cs="Times New Roman"/>
          <w:b/>
          <w:sz w:val="24"/>
          <w:szCs w:val="24"/>
        </w:rPr>
        <w:t>(ME</w:t>
      </w:r>
      <w:r w:rsidR="00816194" w:rsidRPr="007C737B">
        <w:rPr>
          <w:rFonts w:ascii="Times New Roman" w:eastAsia="Times New Roman" w:hAnsi="Times New Roman" w:cs="Times New Roman"/>
          <w:b/>
          <w:sz w:val="24"/>
          <w:szCs w:val="24"/>
        </w:rPr>
        <w:t>R</w:t>
      </w:r>
      <w:r w:rsidR="000F32E1" w:rsidRPr="007C737B">
        <w:rPr>
          <w:rFonts w:ascii="Times New Roman" w:eastAsia="Times New Roman" w:hAnsi="Times New Roman" w:cs="Times New Roman"/>
          <w:b/>
          <w:sz w:val="24"/>
          <w:szCs w:val="24"/>
        </w:rPr>
        <w:t>)</w:t>
      </w:r>
    </w:p>
    <w:p w:rsidR="000F32E1" w:rsidRPr="007C737B" w:rsidRDefault="000F32E1" w:rsidP="007D02FB">
      <w:pPr>
        <w:spacing w:after="0" w:line="240" w:lineRule="auto"/>
        <w:jc w:val="both"/>
        <w:rPr>
          <w:rFonts w:ascii="Times New Roman" w:eastAsia="Times New Roman" w:hAnsi="Times New Roman" w:cs="Times New Roman"/>
        </w:rPr>
      </w:pPr>
    </w:p>
    <w:p w:rsidR="001C430A" w:rsidRPr="007C737B" w:rsidRDefault="001C430A" w:rsidP="007D02FB">
      <w:pPr>
        <w:spacing w:after="0" w:line="240" w:lineRule="auto"/>
        <w:jc w:val="both"/>
        <w:rPr>
          <w:rFonts w:ascii="Times New Roman" w:eastAsia="Times New Roman" w:hAnsi="Times New Roman" w:cs="Times New Roman"/>
        </w:rPr>
      </w:pPr>
    </w:p>
    <w:p w:rsidR="000F32E1" w:rsidRPr="007C737B" w:rsidRDefault="00816194" w:rsidP="00930D6F">
      <w:pPr>
        <w:spacing w:after="0" w:line="240" w:lineRule="auto"/>
        <w:jc w:val="center"/>
        <w:rPr>
          <w:rFonts w:ascii="Times New Roman" w:eastAsia="Times New Roman" w:hAnsi="Times New Roman" w:cs="Times New Roman"/>
        </w:rPr>
      </w:pPr>
      <w:r w:rsidRPr="007C737B">
        <w:rPr>
          <w:rFonts w:ascii="Times New Roman" w:eastAsia="Times New Roman" w:hAnsi="Times New Roman" w:cs="Times New Roman"/>
          <w:b/>
          <w:bCs/>
        </w:rPr>
        <w:t>TERMS OF REFERENCE</w:t>
      </w:r>
    </w:p>
    <w:p w:rsidR="00993C54" w:rsidRPr="007C737B" w:rsidRDefault="00816194" w:rsidP="00930D6F">
      <w:pPr>
        <w:autoSpaceDE w:val="0"/>
        <w:autoSpaceDN w:val="0"/>
        <w:adjustRightInd w:val="0"/>
        <w:spacing w:after="0" w:line="240" w:lineRule="auto"/>
        <w:jc w:val="center"/>
        <w:rPr>
          <w:rFonts w:ascii="Times New Roman" w:hAnsi="Times New Roman" w:cs="Times New Roman"/>
          <w:bCs/>
        </w:rPr>
      </w:pPr>
      <w:r w:rsidRPr="007C737B">
        <w:rPr>
          <w:rFonts w:ascii="Times New Roman" w:eastAsia="Times New Roman" w:hAnsi="Times New Roman" w:cs="Times New Roman"/>
        </w:rPr>
        <w:t xml:space="preserve">for the selection of the Grant Agent (GA) in order to </w:t>
      </w:r>
      <w:r w:rsidR="00E555E4">
        <w:rPr>
          <w:rFonts w:ascii="Times New Roman" w:eastAsia="Times New Roman" w:hAnsi="Times New Roman" w:cs="Times New Roman"/>
        </w:rPr>
        <w:t xml:space="preserve">the </w:t>
      </w:r>
      <w:r w:rsidR="00E555E4" w:rsidRPr="007C737B">
        <w:rPr>
          <w:rFonts w:ascii="Times New Roman" w:eastAsia="Times New Roman" w:hAnsi="Times New Roman" w:cs="Times New Roman"/>
        </w:rPr>
        <w:t>application</w:t>
      </w:r>
      <w:r w:rsidR="007C737B" w:rsidRPr="007C737B">
        <w:rPr>
          <w:rFonts w:ascii="Times New Roman" w:eastAsia="Times New Roman" w:hAnsi="Times New Roman" w:cs="Times New Roman"/>
        </w:rPr>
        <w:t xml:space="preserve"> at </w:t>
      </w:r>
      <w:r w:rsidRPr="007C737B">
        <w:rPr>
          <w:rFonts w:ascii="Times New Roman" w:eastAsia="Times New Roman" w:hAnsi="Times New Roman" w:cs="Times New Roman"/>
        </w:rPr>
        <w:t xml:space="preserve">the Grant of the </w:t>
      </w:r>
      <w:r w:rsidR="002D2DB0">
        <w:rPr>
          <w:rFonts w:ascii="Times New Roman" w:eastAsia="Times New Roman" w:hAnsi="Times New Roman" w:cs="Times New Roman"/>
        </w:rPr>
        <w:t>Multiplier</w:t>
      </w:r>
      <w:r w:rsidRPr="007C737B">
        <w:rPr>
          <w:rFonts w:ascii="Times New Roman" w:eastAsia="Times New Roman" w:hAnsi="Times New Roman" w:cs="Times New Roman"/>
        </w:rPr>
        <w:t xml:space="preserve"> Fund of the Global Partnership for Education (GPE) to support </w:t>
      </w:r>
      <w:r w:rsidR="00A150ED">
        <w:rPr>
          <w:rFonts w:ascii="Times New Roman" w:eastAsia="Times New Roman" w:hAnsi="Times New Roman" w:cs="Times New Roman"/>
        </w:rPr>
        <w:t xml:space="preserve">the </w:t>
      </w:r>
      <w:r w:rsidRPr="007C737B">
        <w:rPr>
          <w:rFonts w:ascii="Times New Roman" w:eastAsia="Times New Roman" w:hAnsi="Times New Roman" w:cs="Times New Roman"/>
        </w:rPr>
        <w:t xml:space="preserve"> Program for the implementation of the Education Development Strategy for 2021-2030, “EDUCATION 2030”.</w:t>
      </w:r>
    </w:p>
    <w:p w:rsidR="001C430A" w:rsidRPr="007C737B" w:rsidRDefault="001C430A" w:rsidP="00930D6F">
      <w:pPr>
        <w:spacing w:after="0" w:line="240" w:lineRule="auto"/>
        <w:jc w:val="center"/>
        <w:rPr>
          <w:rFonts w:ascii="Times New Roman" w:eastAsia="Times New Roman" w:hAnsi="Times New Roman" w:cs="Times New Roman"/>
        </w:rPr>
      </w:pPr>
    </w:p>
    <w:p w:rsidR="000F32E1" w:rsidRPr="007C737B" w:rsidRDefault="000F32E1" w:rsidP="007D02FB">
      <w:pPr>
        <w:spacing w:after="0" w:line="240" w:lineRule="auto"/>
        <w:jc w:val="both"/>
        <w:rPr>
          <w:rFonts w:ascii="Times New Roman" w:eastAsia="Times New Roman" w:hAnsi="Times New Roman" w:cs="Times New Roman"/>
        </w:rPr>
      </w:pPr>
      <w:r w:rsidRPr="007C737B">
        <w:rPr>
          <w:rFonts w:ascii="Times New Roman" w:eastAsia="Times New Roman" w:hAnsi="Times New Roman" w:cs="Times New Roman"/>
        </w:rPr>
        <w:t> </w:t>
      </w:r>
    </w:p>
    <w:p w:rsidR="001C430A" w:rsidRPr="007C737B" w:rsidRDefault="00816194" w:rsidP="007D02FB">
      <w:pPr>
        <w:numPr>
          <w:ilvl w:val="3"/>
          <w:numId w:val="9"/>
        </w:numPr>
        <w:autoSpaceDE w:val="0"/>
        <w:autoSpaceDN w:val="0"/>
        <w:adjustRightInd w:val="0"/>
        <w:spacing w:after="240" w:line="276" w:lineRule="auto"/>
        <w:ind w:left="540" w:hanging="540"/>
        <w:jc w:val="both"/>
        <w:rPr>
          <w:rFonts w:ascii="Times New Roman" w:hAnsi="Times New Roman" w:cs="Times New Roman"/>
        </w:rPr>
      </w:pPr>
      <w:r w:rsidRPr="007C737B">
        <w:rPr>
          <w:rFonts w:ascii="Times New Roman" w:eastAsia="Times New Roman" w:hAnsi="Times New Roman" w:cs="Times New Roman"/>
          <w:b/>
          <w:bCs/>
        </w:rPr>
        <w:t>Introduction</w:t>
      </w:r>
    </w:p>
    <w:p w:rsidR="001C430A" w:rsidRPr="007C737B" w:rsidRDefault="007C737B" w:rsidP="007D02FB">
      <w:pPr>
        <w:autoSpaceDE w:val="0"/>
        <w:autoSpaceDN w:val="0"/>
        <w:adjustRightInd w:val="0"/>
        <w:spacing w:after="240" w:line="276" w:lineRule="auto"/>
        <w:jc w:val="both"/>
        <w:rPr>
          <w:rFonts w:ascii="Times New Roman" w:hAnsi="Times New Roman" w:cs="Times New Roman"/>
        </w:rPr>
      </w:pPr>
      <w:r w:rsidRPr="007C737B">
        <w:rPr>
          <w:rFonts w:ascii="Times New Roman" w:hAnsi="Times New Roman" w:cs="Times New Roman"/>
        </w:rPr>
        <w:t>The Global Partnership for Education (GPE) is a multi-stakeholder partnership and funding platform that aims to strengthen education systems in developing countries in order to increase the number of children who are in school and learning.</w:t>
      </w:r>
      <w:r w:rsidR="00930D6F" w:rsidRPr="007C737B">
        <w:rPr>
          <w:rFonts w:ascii="Times New Roman" w:hAnsi="Times New Roman" w:cs="Times New Roman"/>
        </w:rPr>
        <w:t xml:space="preserve"> </w:t>
      </w:r>
      <w:r w:rsidR="001C430A" w:rsidRPr="007C737B">
        <w:rPr>
          <w:rFonts w:ascii="Times New Roman" w:hAnsi="Times New Roman" w:cs="Times New Roman"/>
        </w:rPr>
        <w:t xml:space="preserve"> </w:t>
      </w:r>
    </w:p>
    <w:p w:rsidR="001C430A" w:rsidRPr="007C737B" w:rsidRDefault="007C737B" w:rsidP="007D02FB">
      <w:pPr>
        <w:autoSpaceDE w:val="0"/>
        <w:autoSpaceDN w:val="0"/>
        <w:adjustRightInd w:val="0"/>
        <w:spacing w:after="240" w:line="276" w:lineRule="auto"/>
        <w:jc w:val="both"/>
        <w:rPr>
          <w:rFonts w:ascii="Times New Roman" w:hAnsi="Times New Roman" w:cs="Times New Roman"/>
        </w:rPr>
      </w:pPr>
      <w:r w:rsidRPr="007C737B">
        <w:rPr>
          <w:rFonts w:ascii="Times New Roman" w:hAnsi="Times New Roman" w:cs="Times New Roman"/>
        </w:rPr>
        <w:t>GPE brings together developing countries, donors, international organizations, civil society, teacher organizations, the private sector and foundations. Its mission is to mobilize global and national efforts to contribute to the achievement of equitable, quality education and learning for all, through inclusive partnership, a focus on effective and efficient education systems and increased financing.</w:t>
      </w:r>
    </w:p>
    <w:p w:rsidR="00B3151F" w:rsidRPr="007C737B" w:rsidRDefault="007C737B" w:rsidP="007D02FB">
      <w:pPr>
        <w:autoSpaceDE w:val="0"/>
        <w:autoSpaceDN w:val="0"/>
        <w:adjustRightInd w:val="0"/>
        <w:spacing w:after="240" w:line="276" w:lineRule="auto"/>
        <w:jc w:val="both"/>
        <w:rPr>
          <w:rFonts w:ascii="Times New Roman" w:hAnsi="Times New Roman" w:cs="Times New Roman"/>
        </w:rPr>
      </w:pPr>
      <w:r w:rsidRPr="007C737B">
        <w:rPr>
          <w:rFonts w:ascii="Times New Roman" w:hAnsi="Times New Roman" w:cs="Times New Roman"/>
        </w:rPr>
        <w:t xml:space="preserve">GPE provides funding, through grants, for the implementation of the National Education Sector Plans (ESP) </w:t>
      </w:r>
      <w:r w:rsidR="00825363">
        <w:rPr>
          <w:rFonts w:ascii="Times New Roman" w:hAnsi="Times New Roman" w:cs="Times New Roman"/>
        </w:rPr>
        <w:t xml:space="preserve">with condition </w:t>
      </w:r>
      <w:r w:rsidRPr="007C737B">
        <w:rPr>
          <w:rFonts w:ascii="Times New Roman" w:hAnsi="Times New Roman" w:cs="Times New Roman"/>
        </w:rPr>
        <w:t xml:space="preserve">that complementary funds </w:t>
      </w:r>
      <w:r w:rsidR="00A150ED">
        <w:rPr>
          <w:rFonts w:ascii="Times New Roman" w:hAnsi="Times New Roman" w:cs="Times New Roman"/>
        </w:rPr>
        <w:t xml:space="preserve">are </w:t>
      </w:r>
      <w:r w:rsidRPr="007C737B">
        <w:rPr>
          <w:rFonts w:ascii="Times New Roman" w:hAnsi="Times New Roman" w:cs="Times New Roman"/>
        </w:rPr>
        <w:t>mobilized from local development partners.</w:t>
      </w:r>
      <w:r w:rsidR="00B3151F" w:rsidRPr="007C737B">
        <w:rPr>
          <w:rFonts w:ascii="Times New Roman" w:hAnsi="Times New Roman" w:cs="Times New Roman"/>
        </w:rPr>
        <w:t xml:space="preserve"> </w:t>
      </w:r>
    </w:p>
    <w:p w:rsidR="009E166B" w:rsidRPr="007C737B" w:rsidRDefault="007C737B" w:rsidP="007D02FB">
      <w:pPr>
        <w:spacing w:after="0" w:line="240" w:lineRule="auto"/>
        <w:jc w:val="both"/>
        <w:rPr>
          <w:rFonts w:ascii="Times New Roman" w:eastAsia="Times New Roman" w:hAnsi="Times New Roman" w:cs="Times New Roman"/>
          <w:lang w:eastAsia="ru-RU"/>
        </w:rPr>
      </w:pPr>
      <w:r w:rsidRPr="007C737B">
        <w:rPr>
          <w:rFonts w:ascii="Times New Roman" w:eastAsia="Times New Roman" w:hAnsi="Times New Roman" w:cs="Times New Roman"/>
          <w:lang w:eastAsia="ru-RU"/>
        </w:rPr>
        <w:t xml:space="preserve">In December 2020, the Ministry of Education and Research sent the Expression of </w:t>
      </w:r>
      <w:r w:rsidR="00A150ED" w:rsidRPr="007C737B">
        <w:rPr>
          <w:rFonts w:ascii="Times New Roman" w:eastAsia="Times New Roman" w:hAnsi="Times New Roman" w:cs="Times New Roman"/>
          <w:lang w:eastAsia="ru-RU"/>
        </w:rPr>
        <w:t>Inte</w:t>
      </w:r>
      <w:r w:rsidR="00A150ED">
        <w:rPr>
          <w:rFonts w:ascii="Times New Roman" w:eastAsia="Times New Roman" w:hAnsi="Times New Roman" w:cs="Times New Roman"/>
          <w:lang w:eastAsia="ru-RU"/>
        </w:rPr>
        <w:t>rest t</w:t>
      </w:r>
      <w:r w:rsidRPr="007C737B">
        <w:rPr>
          <w:rFonts w:ascii="Times New Roman" w:eastAsia="Times New Roman" w:hAnsi="Times New Roman" w:cs="Times New Roman"/>
          <w:lang w:eastAsia="ru-RU"/>
        </w:rPr>
        <w:t xml:space="preserve">o obtain a grant of 5 million $, for the Education sector in the Republic of Moldova, from the GPE </w:t>
      </w:r>
      <w:r w:rsidR="002D2DB0">
        <w:rPr>
          <w:rFonts w:ascii="Times New Roman" w:eastAsia="Times New Roman" w:hAnsi="Times New Roman" w:cs="Times New Roman"/>
          <w:lang w:eastAsia="ru-RU"/>
        </w:rPr>
        <w:t>Multiplier</w:t>
      </w:r>
      <w:r w:rsidRPr="007C737B">
        <w:rPr>
          <w:rFonts w:ascii="Times New Roman" w:eastAsia="Times New Roman" w:hAnsi="Times New Roman" w:cs="Times New Roman"/>
          <w:lang w:eastAsia="ru-RU"/>
        </w:rPr>
        <w:t xml:space="preserve"> Fund</w:t>
      </w:r>
      <w:r w:rsidR="00897F47" w:rsidRPr="007C737B">
        <w:rPr>
          <w:rFonts w:ascii="Times New Roman" w:eastAsia="Times New Roman" w:hAnsi="Times New Roman" w:cs="Times New Roman"/>
          <w:lang w:eastAsia="ru-RU"/>
        </w:rPr>
        <w:t xml:space="preserve">. </w:t>
      </w:r>
      <w:r w:rsidRPr="007C737B">
        <w:rPr>
          <w:rFonts w:ascii="Times New Roman" w:eastAsia="Times New Roman" w:hAnsi="Times New Roman" w:cs="Times New Roman"/>
          <w:lang w:eastAsia="ru-RU"/>
        </w:rPr>
        <w:t xml:space="preserve">At the same time, the Ministry worked with a number of </w:t>
      </w:r>
      <w:r w:rsidR="00A150ED">
        <w:rPr>
          <w:rFonts w:ascii="Times New Roman" w:eastAsia="Times New Roman" w:hAnsi="Times New Roman" w:cs="Times New Roman"/>
          <w:lang w:eastAsia="ru-RU"/>
        </w:rPr>
        <w:t xml:space="preserve">local </w:t>
      </w:r>
      <w:r w:rsidRPr="007C737B">
        <w:rPr>
          <w:rFonts w:ascii="Times New Roman" w:eastAsia="Times New Roman" w:hAnsi="Times New Roman" w:cs="Times New Roman"/>
          <w:lang w:eastAsia="ru-RU"/>
        </w:rPr>
        <w:t xml:space="preserve">donors to </w:t>
      </w:r>
      <w:r w:rsidR="00825363" w:rsidRPr="007C737B">
        <w:rPr>
          <w:rFonts w:ascii="Times New Roman" w:eastAsia="Times New Roman" w:hAnsi="Times New Roman" w:cs="Times New Roman"/>
          <w:lang w:eastAsia="ru-RU"/>
        </w:rPr>
        <w:t>mobilize 15</w:t>
      </w:r>
      <w:r w:rsidRPr="007C737B">
        <w:rPr>
          <w:rFonts w:ascii="Times New Roman" w:eastAsia="Times New Roman" w:hAnsi="Times New Roman" w:cs="Times New Roman"/>
          <w:lang w:eastAsia="ru-RU"/>
        </w:rPr>
        <w:t xml:space="preserve"> million $ from them, to meet the conditions to </w:t>
      </w:r>
      <w:r w:rsidR="00825363" w:rsidRPr="007C737B">
        <w:rPr>
          <w:rFonts w:ascii="Times New Roman" w:eastAsia="Times New Roman" w:hAnsi="Times New Roman" w:cs="Times New Roman"/>
          <w:lang w:eastAsia="ru-RU"/>
        </w:rPr>
        <w:t>mobilize 3</w:t>
      </w:r>
      <w:r w:rsidRPr="007C737B">
        <w:rPr>
          <w:rFonts w:ascii="Times New Roman" w:eastAsia="Times New Roman" w:hAnsi="Times New Roman" w:cs="Times New Roman"/>
          <w:lang w:eastAsia="ru-RU"/>
        </w:rPr>
        <w:t xml:space="preserve"> $ from donors and development partners </w:t>
      </w:r>
      <w:r w:rsidR="00A150ED">
        <w:rPr>
          <w:rFonts w:ascii="Times New Roman" w:eastAsia="Times New Roman" w:hAnsi="Times New Roman" w:cs="Times New Roman"/>
          <w:lang w:eastAsia="ru-RU"/>
        </w:rPr>
        <w:t>to</w:t>
      </w:r>
      <w:r w:rsidR="00825363" w:rsidRPr="007C737B">
        <w:rPr>
          <w:rFonts w:ascii="Times New Roman" w:eastAsia="Times New Roman" w:hAnsi="Times New Roman" w:cs="Times New Roman"/>
          <w:lang w:eastAsia="ru-RU"/>
        </w:rPr>
        <w:t xml:space="preserve"> 1</w:t>
      </w:r>
      <w:r w:rsidRPr="007C737B">
        <w:rPr>
          <w:rFonts w:ascii="Times New Roman" w:eastAsia="Times New Roman" w:hAnsi="Times New Roman" w:cs="Times New Roman"/>
          <w:lang w:eastAsia="ru-RU"/>
        </w:rPr>
        <w:t xml:space="preserve"> $ </w:t>
      </w:r>
      <w:r w:rsidR="00A150ED">
        <w:rPr>
          <w:rFonts w:ascii="Times New Roman" w:eastAsia="Times New Roman" w:hAnsi="Times New Roman" w:cs="Times New Roman"/>
          <w:lang w:eastAsia="ru-RU"/>
        </w:rPr>
        <w:t xml:space="preserve">provided by </w:t>
      </w:r>
      <w:r w:rsidRPr="007C737B">
        <w:rPr>
          <w:rFonts w:ascii="Times New Roman" w:eastAsia="Times New Roman" w:hAnsi="Times New Roman" w:cs="Times New Roman"/>
          <w:lang w:eastAsia="ru-RU"/>
        </w:rPr>
        <w:t xml:space="preserve">the </w:t>
      </w:r>
      <w:r w:rsidR="002D2DB0">
        <w:rPr>
          <w:rFonts w:ascii="Times New Roman" w:eastAsia="Times New Roman" w:hAnsi="Times New Roman" w:cs="Times New Roman"/>
          <w:lang w:eastAsia="ru-RU"/>
        </w:rPr>
        <w:t>Multiplier</w:t>
      </w:r>
      <w:r w:rsidRPr="007C737B">
        <w:rPr>
          <w:rFonts w:ascii="Times New Roman" w:eastAsia="Times New Roman" w:hAnsi="Times New Roman" w:cs="Times New Roman"/>
          <w:lang w:eastAsia="ru-RU"/>
        </w:rPr>
        <w:t xml:space="preserve"> Fund.</w:t>
      </w:r>
      <w:r w:rsidR="00A55710" w:rsidRPr="007C737B">
        <w:rPr>
          <w:rFonts w:ascii="Times New Roman" w:eastAsia="Times New Roman" w:hAnsi="Times New Roman" w:cs="Times New Roman"/>
          <w:lang w:eastAsia="ru-RU"/>
        </w:rPr>
        <w:t xml:space="preserve"> </w:t>
      </w:r>
      <w:r w:rsidR="009E166B" w:rsidRPr="007C737B">
        <w:rPr>
          <w:rFonts w:ascii="Times New Roman" w:eastAsia="Times New Roman" w:hAnsi="Times New Roman" w:cs="Times New Roman"/>
          <w:lang w:eastAsia="ru-RU"/>
        </w:rPr>
        <w:t xml:space="preserve"> </w:t>
      </w:r>
    </w:p>
    <w:p w:rsidR="00A7171B" w:rsidRPr="007C737B" w:rsidRDefault="00A7171B" w:rsidP="007D02FB">
      <w:pPr>
        <w:spacing w:after="0" w:line="240" w:lineRule="auto"/>
        <w:jc w:val="both"/>
        <w:rPr>
          <w:rFonts w:ascii="Times New Roman" w:eastAsia="Times New Roman" w:hAnsi="Times New Roman" w:cs="Times New Roman"/>
          <w:lang w:eastAsia="ru-RU"/>
        </w:rPr>
      </w:pPr>
    </w:p>
    <w:p w:rsidR="00897F47" w:rsidRPr="007C737B" w:rsidRDefault="00D24B36" w:rsidP="007D02FB">
      <w:pPr>
        <w:spacing w:after="0" w:line="240" w:lineRule="auto"/>
        <w:jc w:val="both"/>
        <w:rPr>
          <w:rFonts w:ascii="Times New Roman" w:eastAsia="Times New Roman" w:hAnsi="Times New Roman" w:cs="Times New Roman"/>
          <w:lang w:eastAsia="ru-RU"/>
        </w:rPr>
      </w:pPr>
      <w:r w:rsidRPr="00D24B36">
        <w:rPr>
          <w:rFonts w:ascii="Times New Roman" w:eastAsia="Times New Roman" w:hAnsi="Times New Roman" w:cs="Times New Roman"/>
          <w:lang w:eastAsia="ru-RU"/>
        </w:rPr>
        <w:t xml:space="preserve">In February 2021, </w:t>
      </w:r>
      <w:r>
        <w:rPr>
          <w:rFonts w:ascii="Times New Roman" w:eastAsia="Times New Roman" w:hAnsi="Times New Roman" w:cs="Times New Roman"/>
          <w:lang w:eastAsia="ru-RU"/>
        </w:rPr>
        <w:t>GPE</w:t>
      </w:r>
      <w:r w:rsidRPr="00D24B36">
        <w:rPr>
          <w:rFonts w:ascii="Times New Roman" w:eastAsia="Times New Roman" w:hAnsi="Times New Roman" w:cs="Times New Roman"/>
          <w:lang w:eastAsia="ru-RU"/>
        </w:rPr>
        <w:t xml:space="preserve"> accepted the Expression of </w:t>
      </w:r>
      <w:r w:rsidR="00A150ED" w:rsidRPr="007C737B">
        <w:rPr>
          <w:rFonts w:ascii="Times New Roman" w:eastAsia="Times New Roman" w:hAnsi="Times New Roman" w:cs="Times New Roman"/>
          <w:lang w:eastAsia="ru-RU"/>
        </w:rPr>
        <w:t>Inte</w:t>
      </w:r>
      <w:r w:rsidR="00A150ED">
        <w:rPr>
          <w:rFonts w:ascii="Times New Roman" w:eastAsia="Times New Roman" w:hAnsi="Times New Roman" w:cs="Times New Roman"/>
          <w:lang w:eastAsia="ru-RU"/>
        </w:rPr>
        <w:t>rest</w:t>
      </w:r>
      <w:r w:rsidRPr="00D24B3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Thus, </w:t>
      </w:r>
      <w:r w:rsidR="00A150ED">
        <w:rPr>
          <w:rFonts w:ascii="Times New Roman" w:eastAsia="Times New Roman" w:hAnsi="Times New Roman" w:cs="Times New Roman"/>
          <w:lang w:eastAsia="ru-RU"/>
        </w:rPr>
        <w:t xml:space="preserve">as a result of </w:t>
      </w:r>
      <w:r w:rsidRPr="00D24B36">
        <w:rPr>
          <w:rFonts w:ascii="Times New Roman" w:eastAsia="Times New Roman" w:hAnsi="Times New Roman" w:cs="Times New Roman"/>
          <w:lang w:eastAsia="ru-RU"/>
        </w:rPr>
        <w:t xml:space="preserve">the PGE acceptance, the </w:t>
      </w:r>
      <w:r>
        <w:rPr>
          <w:rFonts w:ascii="Times New Roman" w:eastAsia="Times New Roman" w:hAnsi="Times New Roman" w:cs="Times New Roman"/>
          <w:lang w:eastAsia="ru-RU"/>
        </w:rPr>
        <w:t xml:space="preserve">Application </w:t>
      </w:r>
      <w:r w:rsidR="00A150ED">
        <w:rPr>
          <w:rFonts w:ascii="Times New Roman" w:eastAsia="Times New Roman" w:hAnsi="Times New Roman" w:cs="Times New Roman"/>
          <w:lang w:eastAsia="ru-RU"/>
        </w:rPr>
        <w:t xml:space="preserve">for the Grant has to be completed </w:t>
      </w:r>
      <w:r w:rsidRPr="00D24B36">
        <w:rPr>
          <w:rFonts w:ascii="Times New Roman" w:eastAsia="Times New Roman" w:hAnsi="Times New Roman" w:cs="Times New Roman"/>
          <w:lang w:eastAsia="ru-RU"/>
        </w:rPr>
        <w:t>by December 31, 2021.</w:t>
      </w:r>
      <w:r w:rsidR="00897F47" w:rsidRPr="007C737B">
        <w:rPr>
          <w:rFonts w:ascii="Times New Roman" w:eastAsia="Times New Roman" w:hAnsi="Times New Roman" w:cs="Times New Roman"/>
          <w:lang w:eastAsia="ru-RU"/>
        </w:rPr>
        <w:t xml:space="preserve"> </w:t>
      </w:r>
    </w:p>
    <w:p w:rsidR="00897F47" w:rsidRPr="007C737B" w:rsidRDefault="00897F47" w:rsidP="007D02FB">
      <w:pPr>
        <w:spacing w:after="0" w:line="240" w:lineRule="auto"/>
        <w:jc w:val="both"/>
        <w:rPr>
          <w:rFonts w:ascii="Times New Roman" w:eastAsia="Times New Roman" w:hAnsi="Times New Roman" w:cs="Times New Roman"/>
          <w:lang w:eastAsia="ru-RU"/>
        </w:rPr>
      </w:pPr>
    </w:p>
    <w:p w:rsidR="00897F47" w:rsidRPr="007C737B" w:rsidRDefault="00D24B36" w:rsidP="007D02FB">
      <w:pPr>
        <w:spacing w:after="0" w:line="240" w:lineRule="auto"/>
        <w:jc w:val="both"/>
        <w:rPr>
          <w:rFonts w:ascii="Times New Roman" w:hAnsi="Times New Roman" w:cs="Times New Roman"/>
          <w:bCs/>
        </w:rPr>
      </w:pPr>
      <w:r w:rsidRPr="00D24B36">
        <w:rPr>
          <w:rFonts w:ascii="Times New Roman" w:eastAsia="Times New Roman" w:hAnsi="Times New Roman" w:cs="Times New Roman"/>
          <w:lang w:eastAsia="ru-RU"/>
        </w:rPr>
        <w:t xml:space="preserve">The purpose of the Grant is to support the achievement of the objectives of the </w:t>
      </w:r>
      <w:r w:rsidRPr="00D24B36">
        <w:rPr>
          <w:rFonts w:ascii="Times New Roman" w:eastAsia="Times New Roman" w:hAnsi="Times New Roman" w:cs="Times New Roman"/>
          <w:i/>
          <w:lang w:eastAsia="ru-RU"/>
        </w:rPr>
        <w:t>Program for the implementation of the Education Development Strategy for the years 2021-2030, “EDUCATION 2030”.</w:t>
      </w:r>
      <w:r w:rsidR="00897F47" w:rsidRPr="007C737B">
        <w:rPr>
          <w:rFonts w:ascii="Times New Roman" w:hAnsi="Times New Roman" w:cs="Times New Roman"/>
          <w:bCs/>
        </w:rPr>
        <w:t xml:space="preserve"> </w:t>
      </w:r>
    </w:p>
    <w:p w:rsidR="00897F47" w:rsidRPr="007C737B" w:rsidRDefault="00897F47" w:rsidP="007D02FB">
      <w:pPr>
        <w:autoSpaceDE w:val="0"/>
        <w:autoSpaceDN w:val="0"/>
        <w:adjustRightInd w:val="0"/>
        <w:spacing w:after="0" w:line="240" w:lineRule="auto"/>
        <w:jc w:val="both"/>
        <w:rPr>
          <w:rFonts w:ascii="Times New Roman" w:hAnsi="Times New Roman" w:cs="Times New Roman"/>
          <w:bCs/>
        </w:rPr>
      </w:pPr>
    </w:p>
    <w:p w:rsidR="00A7171B" w:rsidRDefault="005746A5" w:rsidP="007D02FB">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For the realization of the ME</w:t>
      </w:r>
      <w:r w:rsidR="00D24B36">
        <w:rPr>
          <w:rFonts w:ascii="Times New Roman" w:hAnsi="Times New Roman" w:cs="Times New Roman"/>
          <w:bCs/>
        </w:rPr>
        <w:t>R</w:t>
      </w:r>
      <w:r w:rsidR="00D24B36" w:rsidRPr="00D24B36">
        <w:rPr>
          <w:rFonts w:ascii="Times New Roman" w:hAnsi="Times New Roman" w:cs="Times New Roman"/>
          <w:bCs/>
        </w:rPr>
        <w:t xml:space="preserve"> Application to the </w:t>
      </w:r>
      <w:r w:rsidR="00D24B36">
        <w:rPr>
          <w:rFonts w:ascii="Times New Roman" w:hAnsi="Times New Roman" w:cs="Times New Roman"/>
          <w:bCs/>
        </w:rPr>
        <w:t>GPE</w:t>
      </w:r>
      <w:r w:rsidR="00D24B36" w:rsidRPr="00D24B36">
        <w:rPr>
          <w:rFonts w:ascii="Times New Roman" w:hAnsi="Times New Roman" w:cs="Times New Roman"/>
          <w:bCs/>
        </w:rPr>
        <w:t xml:space="preserve"> </w:t>
      </w:r>
      <w:r w:rsidR="002D2DB0">
        <w:rPr>
          <w:rFonts w:ascii="Times New Roman" w:hAnsi="Times New Roman" w:cs="Times New Roman"/>
          <w:bCs/>
        </w:rPr>
        <w:t>Multiplier</w:t>
      </w:r>
      <w:r w:rsidR="00D24B36" w:rsidRPr="00D24B36">
        <w:rPr>
          <w:rFonts w:ascii="Times New Roman" w:hAnsi="Times New Roman" w:cs="Times New Roman"/>
          <w:bCs/>
        </w:rPr>
        <w:t xml:space="preserve"> Fund</w:t>
      </w:r>
      <w:r w:rsidR="00D24B36">
        <w:rPr>
          <w:rFonts w:ascii="Times New Roman" w:hAnsi="Times New Roman" w:cs="Times New Roman"/>
          <w:bCs/>
        </w:rPr>
        <w:t>,</w:t>
      </w:r>
      <w:r w:rsidR="00D24B36" w:rsidRPr="00D24B36">
        <w:rPr>
          <w:rFonts w:ascii="Times New Roman" w:hAnsi="Times New Roman" w:cs="Times New Roman"/>
          <w:bCs/>
        </w:rPr>
        <w:t xml:space="preserve"> </w:t>
      </w:r>
      <w:r w:rsidR="00D24B36">
        <w:rPr>
          <w:rFonts w:ascii="Times New Roman" w:hAnsi="Times New Roman" w:cs="Times New Roman"/>
          <w:bCs/>
        </w:rPr>
        <w:t>and to implement</w:t>
      </w:r>
      <w:r w:rsidR="00D24B36" w:rsidRPr="00D24B36">
        <w:rPr>
          <w:rFonts w:ascii="Times New Roman" w:hAnsi="Times New Roman" w:cs="Times New Roman"/>
          <w:bCs/>
        </w:rPr>
        <w:t xml:space="preserve"> the </w:t>
      </w:r>
      <w:r w:rsidR="00D24B36">
        <w:rPr>
          <w:rFonts w:ascii="Times New Roman" w:hAnsi="Times New Roman" w:cs="Times New Roman"/>
          <w:bCs/>
        </w:rPr>
        <w:t>offered Grant</w:t>
      </w:r>
      <w:r w:rsidR="00D24B36" w:rsidRPr="00D24B36">
        <w:rPr>
          <w:rFonts w:ascii="Times New Roman" w:hAnsi="Times New Roman" w:cs="Times New Roman"/>
          <w:bCs/>
        </w:rPr>
        <w:t xml:space="preserve">, </w:t>
      </w:r>
      <w:r w:rsidR="00D24B36">
        <w:rPr>
          <w:rFonts w:ascii="Times New Roman" w:hAnsi="Times New Roman" w:cs="Times New Roman"/>
          <w:bCs/>
        </w:rPr>
        <w:t xml:space="preserve">in </w:t>
      </w:r>
      <w:r w:rsidR="00D24B36" w:rsidRPr="00D24B36">
        <w:rPr>
          <w:rFonts w:ascii="Times New Roman" w:hAnsi="Times New Roman" w:cs="Times New Roman"/>
          <w:bCs/>
        </w:rPr>
        <w:t>accordan</w:t>
      </w:r>
      <w:r w:rsidR="00D24B36">
        <w:rPr>
          <w:rFonts w:ascii="Times New Roman" w:hAnsi="Times New Roman" w:cs="Times New Roman"/>
          <w:bCs/>
        </w:rPr>
        <w:t>ce</w:t>
      </w:r>
      <w:r w:rsidR="00D24B36" w:rsidRPr="00D24B36">
        <w:rPr>
          <w:rFonts w:ascii="Times New Roman" w:hAnsi="Times New Roman" w:cs="Times New Roman"/>
          <w:bCs/>
        </w:rPr>
        <w:t xml:space="preserve"> </w:t>
      </w:r>
      <w:r w:rsidR="00D24B36">
        <w:rPr>
          <w:rFonts w:ascii="Times New Roman" w:hAnsi="Times New Roman" w:cs="Times New Roman"/>
          <w:bCs/>
        </w:rPr>
        <w:t>with</w:t>
      </w:r>
      <w:r w:rsidR="00D24B36" w:rsidRPr="00D24B36">
        <w:rPr>
          <w:rFonts w:ascii="Times New Roman" w:hAnsi="Times New Roman" w:cs="Times New Roman"/>
          <w:bCs/>
        </w:rPr>
        <w:t xml:space="preserve"> the PGE requirements, at the national level </w:t>
      </w:r>
      <w:r w:rsidR="00436986">
        <w:rPr>
          <w:rFonts w:ascii="Times New Roman" w:hAnsi="Times New Roman" w:cs="Times New Roman"/>
          <w:bCs/>
        </w:rPr>
        <w:t>will be selected</w:t>
      </w:r>
      <w:r w:rsidR="00436986" w:rsidRPr="00D24B36">
        <w:rPr>
          <w:rFonts w:ascii="Times New Roman" w:hAnsi="Times New Roman" w:cs="Times New Roman"/>
          <w:bCs/>
        </w:rPr>
        <w:t>/appointed</w:t>
      </w:r>
      <w:r w:rsidR="00436986">
        <w:rPr>
          <w:rFonts w:ascii="Times New Roman" w:hAnsi="Times New Roman" w:cs="Times New Roman"/>
          <w:bCs/>
        </w:rPr>
        <w:t xml:space="preserve"> a Grant Agent.</w:t>
      </w:r>
    </w:p>
    <w:p w:rsidR="00436986" w:rsidRPr="007C737B" w:rsidRDefault="00436986" w:rsidP="007D02FB">
      <w:pPr>
        <w:autoSpaceDE w:val="0"/>
        <w:autoSpaceDN w:val="0"/>
        <w:adjustRightInd w:val="0"/>
        <w:spacing w:after="0" w:line="240" w:lineRule="auto"/>
        <w:jc w:val="both"/>
        <w:rPr>
          <w:rFonts w:ascii="Times New Roman" w:hAnsi="Times New Roman" w:cs="Times New Roman"/>
          <w:bCs/>
        </w:rPr>
      </w:pPr>
    </w:p>
    <w:p w:rsidR="00897F47" w:rsidRPr="007C737B" w:rsidRDefault="00436986" w:rsidP="007D02FB">
      <w:pPr>
        <w:autoSpaceDE w:val="0"/>
        <w:autoSpaceDN w:val="0"/>
        <w:adjustRightInd w:val="0"/>
        <w:spacing w:after="0" w:line="240" w:lineRule="auto"/>
        <w:jc w:val="both"/>
        <w:rPr>
          <w:rFonts w:ascii="Times New Roman" w:eastAsia="Times New Roman" w:hAnsi="Times New Roman" w:cs="Times New Roman"/>
          <w:lang w:eastAsia="ru-RU"/>
        </w:rPr>
      </w:pPr>
      <w:r w:rsidRPr="00436986">
        <w:rPr>
          <w:rFonts w:ascii="Times New Roman" w:hAnsi="Times New Roman" w:cs="Times New Roman"/>
          <w:bCs/>
        </w:rPr>
        <w:t xml:space="preserve">These Terms of Reference (TOR) for the </w:t>
      </w:r>
      <w:proofErr w:type="gramStart"/>
      <w:r w:rsidR="00A150ED">
        <w:rPr>
          <w:rFonts w:ascii="Times New Roman" w:hAnsi="Times New Roman" w:cs="Times New Roman"/>
          <w:bCs/>
        </w:rPr>
        <w:t xml:space="preserve">selection </w:t>
      </w:r>
      <w:r w:rsidRPr="00436986">
        <w:rPr>
          <w:rFonts w:ascii="Times New Roman" w:hAnsi="Times New Roman" w:cs="Times New Roman"/>
          <w:bCs/>
        </w:rPr>
        <w:t xml:space="preserve"> of</w:t>
      </w:r>
      <w:proofErr w:type="gramEnd"/>
      <w:r w:rsidRPr="00436986">
        <w:rPr>
          <w:rFonts w:ascii="Times New Roman" w:hAnsi="Times New Roman" w:cs="Times New Roman"/>
          <w:bCs/>
        </w:rPr>
        <w:t xml:space="preserve"> the</w:t>
      </w:r>
      <w:r>
        <w:rPr>
          <w:rFonts w:ascii="Times New Roman" w:hAnsi="Times New Roman" w:cs="Times New Roman"/>
          <w:bCs/>
        </w:rPr>
        <w:t xml:space="preserve"> Grant Agent have been develop</w:t>
      </w:r>
      <w:r w:rsidRPr="00436986">
        <w:rPr>
          <w:rFonts w:ascii="Times New Roman" w:hAnsi="Times New Roman" w:cs="Times New Roman"/>
          <w:bCs/>
        </w:rPr>
        <w:t xml:space="preserve"> in accordance with the basic requirements of the </w:t>
      </w:r>
      <w:r>
        <w:rPr>
          <w:rFonts w:ascii="Times New Roman" w:hAnsi="Times New Roman" w:cs="Times New Roman"/>
          <w:bCs/>
        </w:rPr>
        <w:t>GPE</w:t>
      </w:r>
      <w:r w:rsidRPr="00436986">
        <w:rPr>
          <w:rFonts w:ascii="Times New Roman" w:hAnsi="Times New Roman" w:cs="Times New Roman"/>
          <w:bCs/>
        </w:rPr>
        <w:t xml:space="preserve"> set out in the documents</w:t>
      </w:r>
      <w:r w:rsidR="00A7171B" w:rsidRPr="007C737B">
        <w:rPr>
          <w:rFonts w:ascii="Times New Roman" w:hAnsi="Times New Roman" w:cs="Times New Roman"/>
          <w:bCs/>
        </w:rPr>
        <w:t xml:space="preserve">: </w:t>
      </w:r>
    </w:p>
    <w:p w:rsidR="00897F47" w:rsidRPr="007C737B" w:rsidRDefault="00897F47" w:rsidP="007D02FB">
      <w:pPr>
        <w:spacing w:after="0" w:line="240" w:lineRule="auto"/>
        <w:jc w:val="both"/>
        <w:rPr>
          <w:rFonts w:ascii="Times New Roman" w:eastAsia="Times New Roman" w:hAnsi="Times New Roman" w:cs="Times New Roman"/>
          <w:lang w:eastAsia="ru-RU"/>
        </w:rPr>
      </w:pPr>
    </w:p>
    <w:p w:rsidR="0009684B" w:rsidRPr="007C737B" w:rsidRDefault="009B3AB9" w:rsidP="00B64346">
      <w:pPr>
        <w:pStyle w:val="Default"/>
        <w:numPr>
          <w:ilvl w:val="2"/>
          <w:numId w:val="26"/>
        </w:numPr>
        <w:spacing w:before="120" w:after="120"/>
        <w:ind w:left="630"/>
        <w:jc w:val="both"/>
        <w:rPr>
          <w:rStyle w:val="a5"/>
          <w:rFonts w:ascii="Times New Roman" w:hAnsi="Times New Roman" w:cs="Times New Roman"/>
          <w:color w:val="auto"/>
          <w:sz w:val="22"/>
          <w:szCs w:val="22"/>
          <w:u w:val="none"/>
        </w:rPr>
      </w:pPr>
      <w:hyperlink r:id="rId6" w:history="1">
        <w:r w:rsidR="00B6254F" w:rsidRPr="00B6254F">
          <w:rPr>
            <w:rStyle w:val="a5"/>
            <w:rFonts w:ascii="Times New Roman" w:hAnsi="Times New Roman" w:cs="Times New Roman"/>
            <w:color w:val="auto"/>
            <w:sz w:val="22"/>
            <w:szCs w:val="22"/>
          </w:rPr>
          <w:t>Standard</w:t>
        </w:r>
        <w:r w:rsidR="00B6254F">
          <w:rPr>
            <w:rStyle w:val="a5"/>
            <w:rFonts w:ascii="Times New Roman" w:hAnsi="Times New Roman" w:cs="Times New Roman"/>
            <w:color w:val="auto"/>
            <w:sz w:val="22"/>
            <w:szCs w:val="22"/>
          </w:rPr>
          <w:t xml:space="preserve"> Selection Process for Grant A</w:t>
        </w:r>
        <w:r w:rsidR="00B6254F" w:rsidRPr="00B6254F">
          <w:rPr>
            <w:rStyle w:val="a5"/>
            <w:rFonts w:ascii="Times New Roman" w:hAnsi="Times New Roman" w:cs="Times New Roman"/>
            <w:color w:val="auto"/>
            <w:sz w:val="22"/>
            <w:szCs w:val="22"/>
          </w:rPr>
          <w:t>gents</w:t>
        </w:r>
        <w:r w:rsidR="0009684B" w:rsidRPr="007C737B">
          <w:rPr>
            <w:rStyle w:val="a5"/>
            <w:rFonts w:ascii="Times New Roman" w:hAnsi="Times New Roman" w:cs="Times New Roman"/>
            <w:color w:val="auto"/>
            <w:sz w:val="22"/>
            <w:szCs w:val="22"/>
          </w:rPr>
          <w:t xml:space="preserve">, </w:t>
        </w:r>
        <w:r w:rsidR="00B6254F">
          <w:rPr>
            <w:rStyle w:val="a5"/>
            <w:rFonts w:ascii="Times New Roman" w:hAnsi="Times New Roman" w:cs="Times New Roman"/>
            <w:color w:val="auto"/>
            <w:sz w:val="22"/>
            <w:szCs w:val="22"/>
          </w:rPr>
          <w:t>M</w:t>
        </w:r>
        <w:r w:rsidR="0009684B" w:rsidRPr="007C737B">
          <w:rPr>
            <w:rStyle w:val="a5"/>
            <w:rFonts w:ascii="Times New Roman" w:hAnsi="Times New Roman" w:cs="Times New Roman"/>
            <w:color w:val="auto"/>
            <w:sz w:val="22"/>
            <w:szCs w:val="22"/>
          </w:rPr>
          <w:t>a</w:t>
        </w:r>
      </w:hyperlink>
      <w:r w:rsidR="00B6254F">
        <w:rPr>
          <w:rStyle w:val="a5"/>
          <w:rFonts w:ascii="Times New Roman" w:hAnsi="Times New Roman" w:cs="Times New Roman"/>
          <w:color w:val="auto"/>
          <w:sz w:val="22"/>
          <w:szCs w:val="22"/>
        </w:rPr>
        <w:t>y</w:t>
      </w:r>
      <w:r w:rsidR="0009684B" w:rsidRPr="007C737B">
        <w:rPr>
          <w:rStyle w:val="a5"/>
          <w:rFonts w:ascii="Times New Roman" w:hAnsi="Times New Roman" w:cs="Times New Roman"/>
          <w:color w:val="auto"/>
          <w:sz w:val="22"/>
          <w:szCs w:val="22"/>
        </w:rPr>
        <w:t xml:space="preserve"> 2019</w:t>
      </w:r>
    </w:p>
    <w:p w:rsidR="0009684B" w:rsidRPr="007C737B" w:rsidRDefault="00B6254F" w:rsidP="00B64346">
      <w:pPr>
        <w:pStyle w:val="Default"/>
        <w:numPr>
          <w:ilvl w:val="2"/>
          <w:numId w:val="26"/>
        </w:numPr>
        <w:spacing w:before="120" w:after="120"/>
        <w:ind w:left="630"/>
        <w:jc w:val="both"/>
        <w:rPr>
          <w:rStyle w:val="a5"/>
          <w:rFonts w:ascii="Times New Roman" w:hAnsi="Times New Roman" w:cs="Times New Roman"/>
          <w:color w:val="auto"/>
          <w:sz w:val="22"/>
          <w:szCs w:val="22"/>
          <w:u w:val="none"/>
        </w:rPr>
      </w:pPr>
      <w:r w:rsidRPr="00B6254F">
        <w:rPr>
          <w:rStyle w:val="a5"/>
          <w:rFonts w:ascii="Times New Roman" w:hAnsi="Times New Roman" w:cs="Times New Roman"/>
          <w:color w:val="auto"/>
          <w:sz w:val="22"/>
          <w:szCs w:val="22"/>
        </w:rPr>
        <w:t>Grant Agents Minimum Standards</w:t>
      </w:r>
      <w:hyperlink r:id="rId7" w:history="1"/>
      <w:r w:rsidR="0009684B" w:rsidRPr="007C737B">
        <w:rPr>
          <w:rStyle w:val="a5"/>
          <w:rFonts w:ascii="Times New Roman" w:hAnsi="Times New Roman" w:cs="Times New Roman"/>
          <w:color w:val="auto"/>
          <w:sz w:val="22"/>
          <w:szCs w:val="22"/>
        </w:rPr>
        <w:t xml:space="preserve">, </w:t>
      </w:r>
      <w:r>
        <w:rPr>
          <w:rStyle w:val="a5"/>
          <w:rFonts w:ascii="Times New Roman" w:hAnsi="Times New Roman" w:cs="Times New Roman"/>
          <w:color w:val="auto"/>
          <w:sz w:val="22"/>
          <w:szCs w:val="22"/>
        </w:rPr>
        <w:t>A</w:t>
      </w:r>
      <w:r w:rsidR="0009684B" w:rsidRPr="007C737B">
        <w:rPr>
          <w:rStyle w:val="a5"/>
          <w:rFonts w:ascii="Times New Roman" w:hAnsi="Times New Roman" w:cs="Times New Roman"/>
          <w:color w:val="auto"/>
          <w:sz w:val="22"/>
          <w:szCs w:val="22"/>
        </w:rPr>
        <w:t>ugust 2019</w:t>
      </w:r>
    </w:p>
    <w:p w:rsidR="00A7171B" w:rsidRPr="00B6254F" w:rsidRDefault="00B6254F" w:rsidP="00B64346">
      <w:pPr>
        <w:pStyle w:val="Default"/>
        <w:numPr>
          <w:ilvl w:val="2"/>
          <w:numId w:val="26"/>
        </w:numPr>
        <w:spacing w:before="120" w:after="120"/>
        <w:ind w:left="630"/>
        <w:jc w:val="both"/>
        <w:rPr>
          <w:rFonts w:ascii="Times New Roman" w:eastAsia="Times New Roman" w:hAnsi="Times New Roman" w:cs="Times New Roman"/>
          <w:color w:val="auto"/>
          <w:sz w:val="22"/>
          <w:szCs w:val="22"/>
          <w:u w:val="single"/>
          <w:lang w:eastAsia="ru-RU"/>
        </w:rPr>
      </w:pPr>
      <w:r w:rsidRPr="00B6254F">
        <w:rPr>
          <w:rFonts w:ascii="Times New Roman" w:eastAsia="Times New Roman" w:hAnsi="Times New Roman" w:cs="Times New Roman"/>
          <w:color w:val="auto"/>
          <w:sz w:val="22"/>
          <w:szCs w:val="22"/>
          <w:u w:val="single"/>
          <w:lang w:eastAsia="ru-RU"/>
        </w:rPr>
        <w:t>Terms of Reference for</w:t>
      </w:r>
      <w:r>
        <w:rPr>
          <w:rFonts w:ascii="Times New Roman" w:eastAsia="Times New Roman" w:hAnsi="Times New Roman" w:cs="Times New Roman"/>
          <w:color w:val="auto"/>
          <w:sz w:val="22"/>
          <w:szCs w:val="22"/>
          <w:u w:val="single"/>
          <w:lang w:eastAsia="ru-RU"/>
        </w:rPr>
        <w:t xml:space="preserve"> </w:t>
      </w:r>
      <w:r w:rsidRPr="00B6254F">
        <w:rPr>
          <w:rFonts w:ascii="Times New Roman" w:eastAsia="Times New Roman" w:hAnsi="Times New Roman" w:cs="Times New Roman"/>
          <w:color w:val="auto"/>
          <w:sz w:val="22"/>
          <w:szCs w:val="22"/>
          <w:u w:val="single"/>
          <w:lang w:eastAsia="ru-RU"/>
        </w:rPr>
        <w:t>Grant Agents of the GPE Education Sector Program Implementation Grant</w:t>
      </w:r>
      <w:r>
        <w:rPr>
          <w:rFonts w:ascii="Times New Roman" w:eastAsia="Times New Roman" w:hAnsi="Times New Roman" w:cs="Times New Roman"/>
          <w:color w:val="auto"/>
          <w:sz w:val="22"/>
          <w:szCs w:val="22"/>
          <w:u w:val="single"/>
          <w:lang w:eastAsia="ru-RU"/>
        </w:rPr>
        <w:t xml:space="preserve"> </w:t>
      </w:r>
      <w:r w:rsidRPr="00B6254F">
        <w:rPr>
          <w:rFonts w:ascii="Times New Roman" w:eastAsia="Times New Roman" w:hAnsi="Times New Roman" w:cs="Times New Roman"/>
          <w:color w:val="auto"/>
          <w:sz w:val="22"/>
          <w:szCs w:val="22"/>
          <w:u w:val="single"/>
          <w:lang w:eastAsia="ru-RU"/>
        </w:rPr>
        <w:t>(ESPIG)</w:t>
      </w:r>
      <w:r w:rsidR="009E166B" w:rsidRPr="00B6254F">
        <w:rPr>
          <w:rFonts w:ascii="Times New Roman" w:eastAsia="Times New Roman" w:hAnsi="Times New Roman" w:cs="Times New Roman"/>
          <w:color w:val="auto"/>
          <w:sz w:val="22"/>
          <w:szCs w:val="22"/>
          <w:u w:val="single"/>
          <w:lang w:eastAsia="ru-RU"/>
        </w:rPr>
        <w:t xml:space="preserve">, </w:t>
      </w:r>
      <w:r>
        <w:rPr>
          <w:rFonts w:ascii="Times New Roman" w:eastAsia="Times New Roman" w:hAnsi="Times New Roman" w:cs="Times New Roman"/>
          <w:color w:val="auto"/>
          <w:sz w:val="22"/>
          <w:szCs w:val="22"/>
          <w:u w:val="single"/>
          <w:lang w:eastAsia="ru-RU"/>
        </w:rPr>
        <w:t>M</w:t>
      </w:r>
      <w:r w:rsidR="009E166B" w:rsidRPr="00B6254F">
        <w:rPr>
          <w:rFonts w:ascii="Times New Roman" w:eastAsia="Times New Roman" w:hAnsi="Times New Roman" w:cs="Times New Roman"/>
          <w:color w:val="auto"/>
          <w:sz w:val="22"/>
          <w:szCs w:val="22"/>
          <w:u w:val="single"/>
          <w:lang w:eastAsia="ru-RU"/>
        </w:rPr>
        <w:t>a</w:t>
      </w:r>
      <w:r>
        <w:rPr>
          <w:rFonts w:ascii="Times New Roman" w:eastAsia="Times New Roman" w:hAnsi="Times New Roman" w:cs="Times New Roman"/>
          <w:color w:val="auto"/>
          <w:sz w:val="22"/>
          <w:szCs w:val="22"/>
          <w:u w:val="single"/>
          <w:lang w:eastAsia="ru-RU"/>
        </w:rPr>
        <w:t>y</w:t>
      </w:r>
      <w:r w:rsidR="009E166B" w:rsidRPr="00B6254F">
        <w:rPr>
          <w:rFonts w:ascii="Times New Roman" w:eastAsia="Times New Roman" w:hAnsi="Times New Roman" w:cs="Times New Roman"/>
          <w:color w:val="auto"/>
          <w:sz w:val="22"/>
          <w:szCs w:val="22"/>
          <w:u w:val="single"/>
          <w:lang w:eastAsia="ru-RU"/>
        </w:rPr>
        <w:t xml:space="preserve"> 2019. </w:t>
      </w:r>
      <w:r w:rsidR="00A7171B" w:rsidRPr="00B6254F">
        <w:rPr>
          <w:rFonts w:ascii="Times New Roman" w:eastAsia="Times New Roman" w:hAnsi="Times New Roman" w:cs="Times New Roman"/>
          <w:color w:val="auto"/>
          <w:sz w:val="22"/>
          <w:szCs w:val="22"/>
          <w:u w:val="single"/>
          <w:lang w:eastAsia="ru-RU"/>
        </w:rPr>
        <w:t xml:space="preserve">  </w:t>
      </w:r>
    </w:p>
    <w:p w:rsidR="00A7171B" w:rsidRPr="007C737B" w:rsidRDefault="00A7171B" w:rsidP="007D02FB">
      <w:pPr>
        <w:spacing w:after="0" w:line="240" w:lineRule="auto"/>
        <w:jc w:val="both"/>
        <w:rPr>
          <w:rFonts w:ascii="Times New Roman" w:eastAsia="Times New Roman" w:hAnsi="Times New Roman" w:cs="Times New Roman"/>
          <w:lang w:eastAsia="ru-RU"/>
        </w:rPr>
      </w:pPr>
    </w:p>
    <w:p w:rsidR="007512B3" w:rsidRPr="007C737B" w:rsidRDefault="00B6254F" w:rsidP="00B6254F">
      <w:pPr>
        <w:pStyle w:val="a3"/>
        <w:numPr>
          <w:ilvl w:val="0"/>
          <w:numId w:val="9"/>
        </w:numPr>
        <w:tabs>
          <w:tab w:val="clear" w:pos="720"/>
          <w:tab w:val="num" w:pos="450"/>
        </w:tabs>
        <w:spacing w:after="0" w:line="240" w:lineRule="auto"/>
        <w:ind w:left="360"/>
        <w:jc w:val="both"/>
        <w:rPr>
          <w:rFonts w:ascii="Times New Roman" w:eastAsia="Times New Roman" w:hAnsi="Times New Roman" w:cs="Times New Roman"/>
          <w:b/>
          <w:bCs/>
        </w:rPr>
      </w:pPr>
      <w:r w:rsidRPr="00B6254F">
        <w:rPr>
          <w:rFonts w:ascii="Times New Roman" w:eastAsia="Times New Roman" w:hAnsi="Times New Roman" w:cs="Times New Roman"/>
          <w:b/>
          <w:bCs/>
        </w:rPr>
        <w:t>The ESPIG GA has the following specific responsibilities</w:t>
      </w:r>
      <w:r w:rsidR="00993C54" w:rsidRPr="007C737B">
        <w:rPr>
          <w:rFonts w:ascii="Times New Roman" w:eastAsia="Times New Roman" w:hAnsi="Times New Roman" w:cs="Times New Roman"/>
          <w:b/>
          <w:bCs/>
        </w:rPr>
        <w:t xml:space="preserve">: </w:t>
      </w:r>
    </w:p>
    <w:p w:rsidR="007512B3" w:rsidRPr="007C737B" w:rsidRDefault="007512B3" w:rsidP="007D02FB">
      <w:pPr>
        <w:spacing w:after="0" w:line="240" w:lineRule="auto"/>
        <w:ind w:left="1260"/>
        <w:jc w:val="both"/>
        <w:rPr>
          <w:rFonts w:ascii="Times New Roman" w:eastAsia="Times New Roman" w:hAnsi="Times New Roman" w:cs="Times New Roman"/>
        </w:rPr>
      </w:pPr>
      <w:r w:rsidRPr="007C737B">
        <w:rPr>
          <w:rFonts w:ascii="Times New Roman" w:eastAsia="Times New Roman" w:hAnsi="Times New Roman" w:cs="Times New Roman"/>
          <w:b/>
          <w:bCs/>
        </w:rPr>
        <w:t> </w:t>
      </w:r>
    </w:p>
    <w:p w:rsidR="00993C54" w:rsidRPr="007C737B" w:rsidRDefault="00B6254F" w:rsidP="00B6254F">
      <w:pPr>
        <w:pStyle w:val="a3"/>
        <w:numPr>
          <w:ilvl w:val="0"/>
          <w:numId w:val="24"/>
        </w:numPr>
        <w:autoSpaceDE w:val="0"/>
        <w:autoSpaceDN w:val="0"/>
        <w:adjustRightInd w:val="0"/>
        <w:spacing w:after="240" w:line="276" w:lineRule="auto"/>
        <w:ind w:left="630"/>
        <w:contextualSpacing w:val="0"/>
        <w:jc w:val="both"/>
        <w:rPr>
          <w:rFonts w:ascii="Times New Roman" w:hAnsi="Times New Roman" w:cs="Times New Roman"/>
          <w:b/>
        </w:rPr>
      </w:pPr>
      <w:r w:rsidRPr="00B6254F">
        <w:rPr>
          <w:rFonts w:ascii="Times New Roman" w:hAnsi="Times New Roman" w:cs="Times New Roman"/>
          <w:b/>
          <w:bCs/>
        </w:rPr>
        <w:t>Support effective, inclusive partnership</w:t>
      </w:r>
      <w:r w:rsidR="00993C54" w:rsidRPr="007C737B">
        <w:rPr>
          <w:rFonts w:ascii="Times New Roman" w:hAnsi="Times New Roman" w:cs="Times New Roman"/>
          <w:b/>
          <w:bCs/>
        </w:rPr>
        <w:t xml:space="preserve"> </w:t>
      </w:r>
    </w:p>
    <w:p w:rsidR="00993C54" w:rsidRPr="00B6254F" w:rsidRDefault="00B6254F" w:rsidP="00B6254F">
      <w:pPr>
        <w:pStyle w:val="a3"/>
        <w:numPr>
          <w:ilvl w:val="1"/>
          <w:numId w:val="23"/>
        </w:numPr>
        <w:autoSpaceDE w:val="0"/>
        <w:autoSpaceDN w:val="0"/>
        <w:adjustRightInd w:val="0"/>
        <w:spacing w:after="240" w:line="276" w:lineRule="auto"/>
        <w:ind w:left="568" w:hanging="284"/>
        <w:contextualSpacing w:val="0"/>
        <w:jc w:val="both"/>
        <w:rPr>
          <w:rFonts w:ascii="Times New Roman" w:hAnsi="Times New Roman" w:cs="Times New Roman"/>
        </w:rPr>
      </w:pPr>
      <w:r w:rsidRPr="00B6254F">
        <w:rPr>
          <w:rFonts w:ascii="Times New Roman" w:hAnsi="Times New Roman" w:cs="Times New Roman"/>
        </w:rPr>
        <w:lastRenderedPageBreak/>
        <w:t>GPE grants are meant to leverage inclusive policy dialogue and strong sector plans. The GA is expected to engage in the broader GPE agenda as a partner and a member of the LEG – including such areas as systems building, sector planning and inclusive policy dialogue</w:t>
      </w:r>
      <w:r w:rsidR="00993C54" w:rsidRPr="00B6254F">
        <w:rPr>
          <w:rFonts w:ascii="Times New Roman" w:hAnsi="Times New Roman" w:cs="Times New Roman"/>
        </w:rPr>
        <w:t xml:space="preserve">. </w:t>
      </w:r>
    </w:p>
    <w:p w:rsidR="00993C54" w:rsidRPr="007C737B" w:rsidRDefault="00B6254F" w:rsidP="00B6254F">
      <w:pPr>
        <w:pStyle w:val="a3"/>
        <w:numPr>
          <w:ilvl w:val="1"/>
          <w:numId w:val="23"/>
        </w:numPr>
        <w:autoSpaceDE w:val="0"/>
        <w:autoSpaceDN w:val="0"/>
        <w:adjustRightInd w:val="0"/>
        <w:spacing w:after="240" w:line="276" w:lineRule="auto"/>
        <w:ind w:left="630"/>
        <w:contextualSpacing w:val="0"/>
        <w:jc w:val="both"/>
        <w:rPr>
          <w:rFonts w:ascii="Times New Roman" w:hAnsi="Times New Roman" w:cs="Times New Roman"/>
        </w:rPr>
      </w:pPr>
      <w:r w:rsidRPr="00B6254F">
        <w:rPr>
          <w:rFonts w:ascii="Times New Roman" w:hAnsi="Times New Roman" w:cs="Times New Roman"/>
        </w:rPr>
        <w:t xml:space="preserve">In collaboration with the </w:t>
      </w:r>
      <w:r w:rsidR="001144D5">
        <w:rPr>
          <w:rFonts w:ascii="Times New Roman" w:hAnsi="Times New Roman" w:cs="Times New Roman"/>
        </w:rPr>
        <w:t>C</w:t>
      </w:r>
      <w:r w:rsidRPr="00B6254F">
        <w:rPr>
          <w:rFonts w:ascii="Times New Roman" w:hAnsi="Times New Roman" w:cs="Times New Roman"/>
        </w:rPr>
        <w:t>oordinating agency (CA), the GA promotes harmonized, inclusive policy dialogue and contributes to and participates in joint sector reviews (JSRs)</w:t>
      </w:r>
      <w:r w:rsidR="00993C54" w:rsidRPr="007C737B">
        <w:rPr>
          <w:rFonts w:ascii="Times New Roman" w:hAnsi="Times New Roman" w:cs="Times New Roman"/>
        </w:rPr>
        <w:t xml:space="preserve">. </w:t>
      </w:r>
    </w:p>
    <w:p w:rsidR="00993C54" w:rsidRPr="007C737B" w:rsidRDefault="00B6254F" w:rsidP="00F977D6">
      <w:pPr>
        <w:pStyle w:val="a3"/>
        <w:keepNext/>
        <w:numPr>
          <w:ilvl w:val="0"/>
          <w:numId w:val="24"/>
        </w:numPr>
        <w:autoSpaceDE w:val="0"/>
        <w:autoSpaceDN w:val="0"/>
        <w:adjustRightInd w:val="0"/>
        <w:spacing w:after="240" w:line="276" w:lineRule="auto"/>
        <w:ind w:left="720"/>
        <w:contextualSpacing w:val="0"/>
        <w:jc w:val="both"/>
        <w:rPr>
          <w:rFonts w:ascii="Times New Roman" w:hAnsi="Times New Roman" w:cs="Times New Roman"/>
          <w:b/>
        </w:rPr>
      </w:pPr>
      <w:r w:rsidRPr="00B6254F">
        <w:rPr>
          <w:rFonts w:ascii="Times New Roman" w:hAnsi="Times New Roman" w:cs="Times New Roman"/>
          <w:b/>
          <w:bCs/>
        </w:rPr>
        <w:t>Grant application preparation</w:t>
      </w:r>
      <w:r w:rsidR="00993C54" w:rsidRPr="007C737B">
        <w:rPr>
          <w:rFonts w:ascii="Times New Roman" w:hAnsi="Times New Roman" w:cs="Times New Roman"/>
          <w:b/>
          <w:bCs/>
        </w:rPr>
        <w:t xml:space="preserve"> </w:t>
      </w:r>
    </w:p>
    <w:p w:rsidR="00993C54" w:rsidRPr="007C737B" w:rsidRDefault="0070254E" w:rsidP="00EE03A3">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Pr>
          <w:rStyle w:val="jlqj4b"/>
          <w:rFonts w:ascii="Times New Roman" w:hAnsi="Times New Roman" w:cs="Times New Roman"/>
          <w:sz w:val="24"/>
          <w:szCs w:val="24"/>
        </w:rPr>
        <w:t>E</w:t>
      </w:r>
      <w:r w:rsidRPr="0070254E">
        <w:rPr>
          <w:rStyle w:val="jlqj4b"/>
          <w:rFonts w:ascii="Times New Roman" w:hAnsi="Times New Roman" w:cs="Times New Roman"/>
          <w:sz w:val="24"/>
          <w:szCs w:val="24"/>
        </w:rPr>
        <w:t>laborates</w:t>
      </w:r>
      <w:r>
        <w:rPr>
          <w:rStyle w:val="jlqj4b"/>
          <w:rFonts w:ascii="Times New Roman" w:hAnsi="Times New Roman" w:cs="Times New Roman"/>
          <w:sz w:val="24"/>
          <w:szCs w:val="24"/>
        </w:rPr>
        <w:t>,</w:t>
      </w:r>
      <w:r w:rsidRPr="0070254E">
        <w:rPr>
          <w:rStyle w:val="jlqj4b"/>
          <w:rFonts w:ascii="Times New Roman" w:hAnsi="Times New Roman" w:cs="Times New Roman"/>
          <w:sz w:val="24"/>
          <w:szCs w:val="24"/>
        </w:rPr>
        <w:t xml:space="preserve"> </w:t>
      </w:r>
      <w:r>
        <w:rPr>
          <w:rStyle w:val="jlqj4b"/>
          <w:rFonts w:ascii="Times New Roman" w:hAnsi="Times New Roman" w:cs="Times New Roman"/>
          <w:sz w:val="24"/>
          <w:szCs w:val="24"/>
        </w:rPr>
        <w:t xml:space="preserve">in cooperation </w:t>
      </w:r>
      <w:r w:rsidRPr="0070254E">
        <w:rPr>
          <w:rStyle w:val="jlqj4b"/>
          <w:rFonts w:ascii="Times New Roman" w:hAnsi="Times New Roman" w:cs="Times New Roman"/>
          <w:sz w:val="24"/>
          <w:szCs w:val="24"/>
        </w:rPr>
        <w:t xml:space="preserve">with </w:t>
      </w:r>
      <w:r w:rsidR="004E1806" w:rsidRPr="004E1806">
        <w:rPr>
          <w:rFonts w:ascii="Times New Roman" w:hAnsi="Times New Roman" w:cs="Times New Roman"/>
        </w:rPr>
        <w:t xml:space="preserve">the </w:t>
      </w:r>
      <w:r w:rsidR="005746A5">
        <w:rPr>
          <w:rFonts w:ascii="Times New Roman" w:hAnsi="Times New Roman" w:cs="Times New Roman"/>
        </w:rPr>
        <w:t>ME</w:t>
      </w:r>
      <w:r w:rsidR="004E1806">
        <w:rPr>
          <w:rFonts w:ascii="Times New Roman" w:hAnsi="Times New Roman" w:cs="Times New Roman"/>
        </w:rPr>
        <w:t>R</w:t>
      </w:r>
      <w:r w:rsidR="004E1806" w:rsidRPr="004E1806">
        <w:rPr>
          <w:rFonts w:ascii="Times New Roman" w:hAnsi="Times New Roman" w:cs="Times New Roman"/>
        </w:rPr>
        <w:t xml:space="preserve"> </w:t>
      </w:r>
      <w:r>
        <w:rPr>
          <w:rFonts w:ascii="Times New Roman" w:hAnsi="Times New Roman" w:cs="Times New Roman"/>
        </w:rPr>
        <w:t xml:space="preserve">and </w:t>
      </w:r>
      <w:r w:rsidRPr="004E1806">
        <w:rPr>
          <w:rFonts w:ascii="Times New Roman" w:hAnsi="Times New Roman" w:cs="Times New Roman"/>
        </w:rPr>
        <w:t>with the LEG</w:t>
      </w:r>
      <w:r>
        <w:rPr>
          <w:rFonts w:ascii="Times New Roman" w:hAnsi="Times New Roman" w:cs="Times New Roman"/>
        </w:rPr>
        <w:t xml:space="preserve"> </w:t>
      </w:r>
      <w:r w:rsidRPr="007C737B">
        <w:rPr>
          <w:rFonts w:ascii="Times New Roman" w:hAnsi="Times New Roman" w:cs="Times New Roman"/>
        </w:rPr>
        <w:t xml:space="preserve"> </w:t>
      </w:r>
      <w:r w:rsidR="004E1806">
        <w:rPr>
          <w:rFonts w:ascii="Times New Roman" w:hAnsi="Times New Roman" w:cs="Times New Roman"/>
        </w:rPr>
        <w:t xml:space="preserve">the </w:t>
      </w:r>
      <w:r>
        <w:rPr>
          <w:rFonts w:ascii="Times New Roman" w:hAnsi="Times New Roman" w:cs="Times New Roman"/>
        </w:rPr>
        <w:t xml:space="preserve">Grant Application </w:t>
      </w:r>
      <w:r w:rsidRPr="004E1806">
        <w:rPr>
          <w:rFonts w:ascii="Times New Roman" w:hAnsi="Times New Roman" w:cs="Times New Roman"/>
        </w:rPr>
        <w:t>package for</w:t>
      </w:r>
      <w:r w:rsidR="004E1806" w:rsidRPr="004E1806">
        <w:rPr>
          <w:rFonts w:ascii="Times New Roman" w:hAnsi="Times New Roman" w:cs="Times New Roman"/>
        </w:rPr>
        <w:t xml:space="preserve"> GPE </w:t>
      </w:r>
      <w:r>
        <w:rPr>
          <w:rFonts w:ascii="Times New Roman" w:hAnsi="Times New Roman" w:cs="Times New Roman"/>
        </w:rPr>
        <w:t xml:space="preserve">Multiplier Fund, </w:t>
      </w:r>
    </w:p>
    <w:p w:rsidR="00993C54" w:rsidRPr="007C737B" w:rsidRDefault="0070254E" w:rsidP="00EE03A3">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Pr>
          <w:rStyle w:val="jlqj4b"/>
          <w:rFonts w:ascii="Times New Roman" w:hAnsi="Times New Roman" w:cs="Times New Roman"/>
          <w:sz w:val="24"/>
          <w:szCs w:val="24"/>
        </w:rPr>
        <w:t>E</w:t>
      </w:r>
      <w:r w:rsidRPr="0070254E">
        <w:rPr>
          <w:rStyle w:val="jlqj4b"/>
          <w:rFonts w:ascii="Times New Roman" w:hAnsi="Times New Roman" w:cs="Times New Roman"/>
          <w:sz w:val="24"/>
          <w:szCs w:val="24"/>
        </w:rPr>
        <w:t>laborates</w:t>
      </w:r>
      <w:r>
        <w:rPr>
          <w:rStyle w:val="jlqj4b"/>
          <w:rFonts w:ascii="Times New Roman" w:hAnsi="Times New Roman" w:cs="Times New Roman"/>
          <w:sz w:val="24"/>
          <w:szCs w:val="24"/>
        </w:rPr>
        <w:t>,</w:t>
      </w:r>
      <w:r w:rsidRPr="0070254E">
        <w:rPr>
          <w:rStyle w:val="jlqj4b"/>
          <w:rFonts w:ascii="Times New Roman" w:hAnsi="Times New Roman" w:cs="Times New Roman"/>
          <w:sz w:val="24"/>
          <w:szCs w:val="24"/>
        </w:rPr>
        <w:t xml:space="preserve"> </w:t>
      </w:r>
      <w:r>
        <w:rPr>
          <w:rStyle w:val="jlqj4b"/>
          <w:rFonts w:ascii="Times New Roman" w:hAnsi="Times New Roman" w:cs="Times New Roman"/>
          <w:sz w:val="24"/>
          <w:szCs w:val="24"/>
        </w:rPr>
        <w:t xml:space="preserve">in cooperation </w:t>
      </w:r>
      <w:r w:rsidRPr="0070254E">
        <w:rPr>
          <w:rStyle w:val="jlqj4b"/>
          <w:rFonts w:ascii="Times New Roman" w:hAnsi="Times New Roman" w:cs="Times New Roman"/>
          <w:sz w:val="24"/>
          <w:szCs w:val="24"/>
        </w:rPr>
        <w:t xml:space="preserve">with </w:t>
      </w:r>
      <w:r w:rsidRPr="004E1806">
        <w:rPr>
          <w:rFonts w:ascii="Times New Roman" w:hAnsi="Times New Roman" w:cs="Times New Roman"/>
        </w:rPr>
        <w:t xml:space="preserve">the </w:t>
      </w:r>
      <w:r w:rsidR="005746A5">
        <w:rPr>
          <w:rFonts w:ascii="Times New Roman" w:hAnsi="Times New Roman" w:cs="Times New Roman"/>
        </w:rPr>
        <w:t>ME</w:t>
      </w:r>
      <w:r>
        <w:rPr>
          <w:rFonts w:ascii="Times New Roman" w:hAnsi="Times New Roman" w:cs="Times New Roman"/>
        </w:rPr>
        <w:t>R</w:t>
      </w:r>
      <w:r w:rsidRPr="004E1806">
        <w:rPr>
          <w:rFonts w:ascii="Times New Roman" w:hAnsi="Times New Roman" w:cs="Times New Roman"/>
        </w:rPr>
        <w:t xml:space="preserve"> </w:t>
      </w:r>
      <w:r>
        <w:rPr>
          <w:rFonts w:ascii="Times New Roman" w:hAnsi="Times New Roman" w:cs="Times New Roman"/>
        </w:rPr>
        <w:t xml:space="preserve">and </w:t>
      </w:r>
      <w:r w:rsidRPr="004E1806">
        <w:rPr>
          <w:rFonts w:ascii="Times New Roman" w:hAnsi="Times New Roman" w:cs="Times New Roman"/>
        </w:rPr>
        <w:t xml:space="preserve">with </w:t>
      </w:r>
      <w:r w:rsidRPr="001144D5">
        <w:rPr>
          <w:rFonts w:ascii="Times New Roman" w:hAnsi="Times New Roman" w:cs="Times New Roman"/>
          <w:sz w:val="24"/>
          <w:szCs w:val="24"/>
        </w:rPr>
        <w:t>the LEG</w:t>
      </w:r>
      <w:r w:rsidR="001144D5">
        <w:rPr>
          <w:rFonts w:ascii="Times New Roman" w:hAnsi="Times New Roman" w:cs="Times New Roman"/>
          <w:sz w:val="24"/>
          <w:szCs w:val="24"/>
        </w:rPr>
        <w:t>,</w:t>
      </w:r>
      <w:r w:rsidRPr="001144D5">
        <w:rPr>
          <w:rFonts w:ascii="Times New Roman" w:hAnsi="Times New Roman" w:cs="Times New Roman"/>
          <w:sz w:val="24"/>
          <w:szCs w:val="24"/>
        </w:rPr>
        <w:t xml:space="preserve"> the </w:t>
      </w:r>
      <w:r w:rsidR="001144D5" w:rsidRPr="001144D5">
        <w:rPr>
          <w:rStyle w:val="jlqj4b"/>
          <w:rFonts w:ascii="Times New Roman" w:hAnsi="Times New Roman" w:cs="Times New Roman"/>
          <w:sz w:val="24"/>
          <w:szCs w:val="24"/>
        </w:rPr>
        <w:t>Education Sector Program</w:t>
      </w:r>
      <w:r w:rsidR="00EE03A3" w:rsidRPr="001144D5">
        <w:rPr>
          <w:rFonts w:ascii="Times New Roman" w:hAnsi="Times New Roman" w:cs="Times New Roman"/>
          <w:sz w:val="24"/>
          <w:szCs w:val="24"/>
        </w:rPr>
        <w:t xml:space="preserve"> </w:t>
      </w:r>
      <w:r w:rsidR="001144D5">
        <w:rPr>
          <w:rFonts w:ascii="Times New Roman" w:hAnsi="Times New Roman" w:cs="Times New Roman"/>
          <w:sz w:val="24"/>
          <w:szCs w:val="24"/>
        </w:rPr>
        <w:t xml:space="preserve">(ESP) </w:t>
      </w:r>
      <w:r w:rsidR="00EE03A3" w:rsidRPr="001144D5">
        <w:rPr>
          <w:rFonts w:ascii="Times New Roman" w:hAnsi="Times New Roman" w:cs="Times New Roman"/>
          <w:sz w:val="24"/>
          <w:szCs w:val="24"/>
        </w:rPr>
        <w:t>within the agreed scope of work and implementation modality and consistent with the ESP in consultation</w:t>
      </w:r>
      <w:r w:rsidR="00EE03A3" w:rsidRPr="00EE03A3">
        <w:rPr>
          <w:rFonts w:ascii="Times New Roman" w:hAnsi="Times New Roman" w:cs="Times New Roman"/>
        </w:rPr>
        <w:t xml:space="preserve"> with the </w:t>
      </w:r>
      <w:r w:rsidR="001144D5">
        <w:rPr>
          <w:rFonts w:ascii="Times New Roman" w:hAnsi="Times New Roman" w:cs="Times New Roman"/>
        </w:rPr>
        <w:t>C</w:t>
      </w:r>
      <w:r w:rsidR="001144D5" w:rsidRPr="00B6254F">
        <w:rPr>
          <w:rFonts w:ascii="Times New Roman" w:hAnsi="Times New Roman" w:cs="Times New Roman"/>
        </w:rPr>
        <w:t xml:space="preserve">oordinating agency </w:t>
      </w:r>
      <w:r w:rsidR="001144D5">
        <w:rPr>
          <w:rFonts w:ascii="Times New Roman" w:hAnsi="Times New Roman" w:cs="Times New Roman"/>
        </w:rPr>
        <w:t>(</w:t>
      </w:r>
      <w:r w:rsidR="00EE03A3" w:rsidRPr="00EE03A3">
        <w:rPr>
          <w:rFonts w:ascii="Times New Roman" w:hAnsi="Times New Roman" w:cs="Times New Roman"/>
        </w:rPr>
        <w:t>CA</w:t>
      </w:r>
      <w:r w:rsidR="001144D5">
        <w:rPr>
          <w:rFonts w:ascii="Times New Roman" w:hAnsi="Times New Roman" w:cs="Times New Roman"/>
        </w:rPr>
        <w:t>)</w:t>
      </w:r>
      <w:r w:rsidR="00EE03A3" w:rsidRPr="00EE03A3">
        <w:rPr>
          <w:rFonts w:ascii="Times New Roman" w:hAnsi="Times New Roman" w:cs="Times New Roman"/>
        </w:rPr>
        <w:t xml:space="preserve"> at agreed milestones in the process, and according to an agreed timeline.</w:t>
      </w:r>
    </w:p>
    <w:p w:rsidR="00993C54" w:rsidRPr="007C737B" w:rsidRDefault="00EE03A3" w:rsidP="00EE03A3">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EE03A3">
        <w:rPr>
          <w:rFonts w:ascii="Times New Roman" w:hAnsi="Times New Roman" w:cs="Times New Roman"/>
        </w:rPr>
        <w:t xml:space="preserve">Supports the </w:t>
      </w:r>
      <w:r w:rsidR="005746A5">
        <w:rPr>
          <w:rFonts w:ascii="Times New Roman" w:hAnsi="Times New Roman" w:cs="Times New Roman"/>
        </w:rPr>
        <w:t>MER</w:t>
      </w:r>
      <w:r w:rsidRPr="00EE03A3">
        <w:rPr>
          <w:rFonts w:ascii="Times New Roman" w:hAnsi="Times New Roman" w:cs="Times New Roman"/>
        </w:rPr>
        <w:t xml:space="preserve"> to identify evidence-based programmatic solutions to address specific education sector challenges with regard to learning, equity and efficiency.</w:t>
      </w:r>
      <w:r w:rsidR="00993C54" w:rsidRPr="007C737B">
        <w:rPr>
          <w:rFonts w:ascii="Times New Roman" w:hAnsi="Times New Roman" w:cs="Times New Roman"/>
        </w:rPr>
        <w:t xml:space="preserve"> </w:t>
      </w:r>
    </w:p>
    <w:p w:rsidR="00993C54" w:rsidRPr="007C737B" w:rsidRDefault="00EE03A3" w:rsidP="00EE03A3">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EE03A3">
        <w:rPr>
          <w:rFonts w:ascii="Times New Roman" w:hAnsi="Times New Roman" w:cs="Times New Roman"/>
        </w:rPr>
        <w:t xml:space="preserve">Works with the </w:t>
      </w:r>
      <w:r w:rsidR="005746A5">
        <w:rPr>
          <w:rFonts w:ascii="Times New Roman" w:hAnsi="Times New Roman" w:cs="Times New Roman"/>
        </w:rPr>
        <w:t>MER</w:t>
      </w:r>
      <w:r w:rsidRPr="00EE03A3">
        <w:rPr>
          <w:rFonts w:ascii="Times New Roman" w:hAnsi="Times New Roman" w:cs="Times New Roman"/>
        </w:rPr>
        <w:t xml:space="preserve"> to clearly define its own role in relation to grant implementation – which can be limited to fiduciary oversight and monitoring, including technical support and capacity building, or encompass direct implementation, including program performance and achievement of results– and ensures this role is explained and budgeted for in the application</w:t>
      </w:r>
      <w:r w:rsidR="00993C54" w:rsidRPr="007C737B">
        <w:rPr>
          <w:rFonts w:ascii="Times New Roman" w:hAnsi="Times New Roman" w:cs="Times New Roman"/>
        </w:rPr>
        <w:t xml:space="preserve">. </w:t>
      </w:r>
    </w:p>
    <w:p w:rsidR="00993C54" w:rsidRPr="007C737B" w:rsidRDefault="00EE03A3" w:rsidP="00EE03A3">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EE03A3">
        <w:rPr>
          <w:rFonts w:ascii="Times New Roman" w:hAnsi="Times New Roman" w:cs="Times New Roman"/>
        </w:rPr>
        <w:t xml:space="preserve">Evaluates the quality and effectiveness of the program and works with the Secretariat </w:t>
      </w:r>
      <w:r w:rsidR="001144D5">
        <w:rPr>
          <w:rFonts w:ascii="Times New Roman" w:hAnsi="Times New Roman" w:cs="Times New Roman"/>
        </w:rPr>
        <w:t xml:space="preserve">of PGE </w:t>
      </w:r>
      <w:r w:rsidRPr="00EE03A3">
        <w:rPr>
          <w:rFonts w:ascii="Times New Roman" w:hAnsi="Times New Roman" w:cs="Times New Roman"/>
        </w:rPr>
        <w:t>to define the respective roles of the GA and the Secretariat in quality assurance processes within an agreed timeline, ensuring they are well coordinated and complementary</w:t>
      </w:r>
      <w:r w:rsidR="00993C54" w:rsidRPr="007C737B">
        <w:rPr>
          <w:rFonts w:ascii="Times New Roman" w:hAnsi="Times New Roman" w:cs="Times New Roman"/>
        </w:rPr>
        <w:t xml:space="preserve">. </w:t>
      </w:r>
    </w:p>
    <w:p w:rsidR="00993C54" w:rsidRPr="007C737B" w:rsidRDefault="00EE03A3" w:rsidP="00EE03A3">
      <w:pPr>
        <w:pStyle w:val="a3"/>
        <w:numPr>
          <w:ilvl w:val="1"/>
          <w:numId w:val="23"/>
        </w:numPr>
        <w:autoSpaceDE w:val="0"/>
        <w:autoSpaceDN w:val="0"/>
        <w:adjustRightInd w:val="0"/>
        <w:spacing w:after="240" w:line="276" w:lineRule="auto"/>
        <w:ind w:left="630"/>
        <w:contextualSpacing w:val="0"/>
        <w:jc w:val="both"/>
        <w:rPr>
          <w:rFonts w:ascii="Times New Roman" w:hAnsi="Times New Roman" w:cs="Times New Roman"/>
        </w:rPr>
      </w:pPr>
      <w:r w:rsidRPr="00EE03A3">
        <w:rPr>
          <w:rFonts w:ascii="Times New Roman" w:hAnsi="Times New Roman" w:cs="Times New Roman"/>
        </w:rPr>
        <w:t>Utilizes and aligns with country procedures and systems according to agreed GA criteria for the context and in compliance with the GA policies and procedures</w:t>
      </w:r>
      <w:r w:rsidR="0015182B" w:rsidRPr="007C737B">
        <w:rPr>
          <w:rFonts w:ascii="Times New Roman" w:hAnsi="Times New Roman" w:cs="Times New Roman"/>
        </w:rPr>
        <w:t>.</w:t>
      </w:r>
      <w:r w:rsidR="00993C54" w:rsidRPr="007C737B">
        <w:rPr>
          <w:rFonts w:ascii="Times New Roman" w:hAnsi="Times New Roman" w:cs="Times New Roman"/>
        </w:rPr>
        <w:t xml:space="preserve"> </w:t>
      </w:r>
    </w:p>
    <w:p w:rsidR="00993C54" w:rsidRPr="007C737B" w:rsidRDefault="00F977D6" w:rsidP="00F977D6">
      <w:pPr>
        <w:pStyle w:val="a3"/>
        <w:numPr>
          <w:ilvl w:val="0"/>
          <w:numId w:val="24"/>
        </w:numPr>
        <w:autoSpaceDE w:val="0"/>
        <w:autoSpaceDN w:val="0"/>
        <w:adjustRightInd w:val="0"/>
        <w:spacing w:after="240" w:line="276" w:lineRule="auto"/>
        <w:ind w:left="720"/>
        <w:contextualSpacing w:val="0"/>
        <w:jc w:val="both"/>
        <w:rPr>
          <w:rFonts w:ascii="Times New Roman" w:hAnsi="Times New Roman" w:cs="Times New Roman"/>
          <w:b/>
        </w:rPr>
      </w:pPr>
      <w:r w:rsidRPr="00F977D6">
        <w:rPr>
          <w:rFonts w:ascii="Times New Roman" w:hAnsi="Times New Roman" w:cs="Times New Roman"/>
          <w:b/>
          <w:bCs/>
        </w:rPr>
        <w:t>Fiduciary responsibilities</w:t>
      </w:r>
      <w:r w:rsidR="00993C54" w:rsidRPr="007C737B">
        <w:rPr>
          <w:rFonts w:ascii="Times New Roman" w:hAnsi="Times New Roman" w:cs="Times New Roman"/>
          <w:b/>
          <w:bCs/>
        </w:rPr>
        <w:t xml:space="preserve"> </w:t>
      </w:r>
    </w:p>
    <w:p w:rsidR="00993C54" w:rsidRPr="007C737B" w:rsidRDefault="00F977D6" w:rsidP="00F977D6">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F977D6">
        <w:rPr>
          <w:rFonts w:ascii="Times New Roman" w:hAnsi="Times New Roman" w:cs="Times New Roman"/>
        </w:rPr>
        <w:t>Enters into a Financial Procedures Agreement (FPA) with the GPE Trustee and performs its fiduciary accountabilities in compliance with the FPA</w:t>
      </w:r>
      <w:r w:rsidR="00993C54" w:rsidRPr="007C737B">
        <w:rPr>
          <w:rFonts w:ascii="Times New Roman" w:hAnsi="Times New Roman" w:cs="Times New Roman"/>
        </w:rPr>
        <w:t xml:space="preserve">. </w:t>
      </w:r>
    </w:p>
    <w:p w:rsidR="00993C54" w:rsidRPr="007C737B" w:rsidRDefault="001144D5" w:rsidP="00F977D6">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Pr>
          <w:rFonts w:ascii="Times New Roman" w:hAnsi="Times New Roman" w:cs="Times New Roman"/>
        </w:rPr>
        <w:t xml:space="preserve">Sign </w:t>
      </w:r>
      <w:r w:rsidR="00F977D6" w:rsidRPr="00F977D6">
        <w:rPr>
          <w:rFonts w:ascii="Times New Roman" w:hAnsi="Times New Roman" w:cs="Times New Roman"/>
        </w:rPr>
        <w:t xml:space="preserve">a formal agreement with the grant recipient (usually the </w:t>
      </w:r>
      <w:r w:rsidR="005746A5">
        <w:rPr>
          <w:rFonts w:ascii="Times New Roman" w:hAnsi="Times New Roman" w:cs="Times New Roman"/>
        </w:rPr>
        <w:t>MER</w:t>
      </w:r>
      <w:r w:rsidR="00F977D6" w:rsidRPr="00F977D6">
        <w:rPr>
          <w:rFonts w:ascii="Times New Roman" w:hAnsi="Times New Roman" w:cs="Times New Roman"/>
        </w:rPr>
        <w:t>) or recipients as appropriate to the GA’s own policies and practices and the country context</w:t>
      </w:r>
      <w:r w:rsidR="00A5278D" w:rsidRPr="007C737B">
        <w:rPr>
          <w:rFonts w:ascii="Times New Roman" w:hAnsi="Times New Roman" w:cs="Times New Roman"/>
        </w:rPr>
        <w:t xml:space="preserve">, </w:t>
      </w:r>
      <w:r w:rsidR="00F977D6" w:rsidRPr="00F977D6">
        <w:rPr>
          <w:rFonts w:ascii="Times New Roman" w:hAnsi="Times New Roman" w:cs="Times New Roman"/>
        </w:rPr>
        <w:t>which details all aspects of the grant application and implementation</w:t>
      </w:r>
      <w:r w:rsidR="00993C54" w:rsidRPr="007C737B">
        <w:rPr>
          <w:rFonts w:ascii="Times New Roman" w:hAnsi="Times New Roman" w:cs="Times New Roman"/>
        </w:rPr>
        <w:t xml:space="preserve">. </w:t>
      </w:r>
    </w:p>
    <w:p w:rsidR="00993C54" w:rsidRPr="007C737B" w:rsidRDefault="00F977D6" w:rsidP="00F977D6">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F977D6">
        <w:rPr>
          <w:rFonts w:ascii="Times New Roman" w:hAnsi="Times New Roman" w:cs="Times New Roman"/>
        </w:rPr>
        <w:t>Maintains books, records, documents and other evidence in accordance with its accounting procedures to sufficiently substantiate the use of transferred funds</w:t>
      </w:r>
      <w:r w:rsidR="00993C54" w:rsidRPr="007C737B">
        <w:rPr>
          <w:rFonts w:ascii="Times New Roman" w:hAnsi="Times New Roman" w:cs="Times New Roman"/>
        </w:rPr>
        <w:t xml:space="preserve">. </w:t>
      </w:r>
    </w:p>
    <w:p w:rsidR="00993C54" w:rsidRPr="007C737B" w:rsidRDefault="00F977D6" w:rsidP="00F977D6">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F977D6">
        <w:rPr>
          <w:rFonts w:ascii="Times New Roman" w:hAnsi="Times New Roman" w:cs="Times New Roman"/>
        </w:rPr>
        <w:t>Ensures the use of GPE funds is carried out in accordance with</w:t>
      </w:r>
      <w:r w:rsidR="00993C54" w:rsidRPr="007C737B">
        <w:rPr>
          <w:rFonts w:ascii="Times New Roman" w:hAnsi="Times New Roman" w:cs="Times New Roman"/>
        </w:rPr>
        <w:t>:</w:t>
      </w:r>
    </w:p>
    <w:p w:rsidR="00993C54" w:rsidRPr="007C737B" w:rsidRDefault="00F977D6" w:rsidP="00F977D6">
      <w:pPr>
        <w:pStyle w:val="a3"/>
        <w:numPr>
          <w:ilvl w:val="0"/>
          <w:numId w:val="25"/>
        </w:numPr>
        <w:autoSpaceDE w:val="0"/>
        <w:autoSpaceDN w:val="0"/>
        <w:adjustRightInd w:val="0"/>
        <w:spacing w:after="0" w:line="240" w:lineRule="auto"/>
        <w:ind w:left="1170"/>
        <w:contextualSpacing w:val="0"/>
        <w:jc w:val="both"/>
        <w:rPr>
          <w:rFonts w:ascii="Times New Roman" w:hAnsi="Times New Roman" w:cs="Times New Roman"/>
        </w:rPr>
      </w:pPr>
      <w:r w:rsidRPr="00F977D6">
        <w:rPr>
          <w:rFonts w:ascii="Times New Roman" w:hAnsi="Times New Roman" w:cs="Times New Roman"/>
        </w:rPr>
        <w:t>its own policies and procedures, including those related to audit, eligible expenditures, employment and supervision of consultants and the procurement of goods and works and its framework to combat fraud and corruption</w:t>
      </w:r>
      <w:r w:rsidR="00993C54" w:rsidRPr="007C737B">
        <w:rPr>
          <w:rFonts w:ascii="Times New Roman" w:hAnsi="Times New Roman" w:cs="Times New Roman"/>
        </w:rPr>
        <w:t xml:space="preserve">. </w:t>
      </w:r>
    </w:p>
    <w:p w:rsidR="00993C54" w:rsidRPr="007C737B" w:rsidRDefault="00F977D6" w:rsidP="00171736">
      <w:pPr>
        <w:pStyle w:val="a3"/>
        <w:numPr>
          <w:ilvl w:val="0"/>
          <w:numId w:val="25"/>
        </w:numPr>
        <w:autoSpaceDE w:val="0"/>
        <w:autoSpaceDN w:val="0"/>
        <w:adjustRightInd w:val="0"/>
        <w:spacing w:after="0" w:line="240" w:lineRule="auto"/>
        <w:ind w:left="1170"/>
        <w:contextualSpacing w:val="0"/>
        <w:jc w:val="both"/>
        <w:rPr>
          <w:rFonts w:ascii="Times New Roman" w:hAnsi="Times New Roman" w:cs="Times New Roman"/>
        </w:rPr>
      </w:pPr>
      <w:proofErr w:type="gramStart"/>
      <w:r w:rsidRPr="00F977D6">
        <w:rPr>
          <w:rFonts w:ascii="Times New Roman" w:hAnsi="Times New Roman" w:cs="Times New Roman"/>
        </w:rPr>
        <w:t>the</w:t>
      </w:r>
      <w:proofErr w:type="gramEnd"/>
      <w:r w:rsidRPr="00F977D6">
        <w:rPr>
          <w:rFonts w:ascii="Times New Roman" w:hAnsi="Times New Roman" w:cs="Times New Roman"/>
        </w:rPr>
        <w:t xml:space="preserve"> applicable decisions of the GPE Board, including the purpose for which the specific allocations have been approved by the Board</w:t>
      </w:r>
      <w:r w:rsidR="00993C54" w:rsidRPr="007C737B">
        <w:rPr>
          <w:rFonts w:ascii="Times New Roman" w:hAnsi="Times New Roman" w:cs="Times New Roman"/>
        </w:rPr>
        <w:t xml:space="preserve">. </w:t>
      </w:r>
    </w:p>
    <w:p w:rsidR="00993C54" w:rsidRPr="007C737B" w:rsidRDefault="00F977D6" w:rsidP="00F977D6">
      <w:pPr>
        <w:pStyle w:val="a3"/>
        <w:numPr>
          <w:ilvl w:val="0"/>
          <w:numId w:val="25"/>
        </w:numPr>
        <w:autoSpaceDE w:val="0"/>
        <w:autoSpaceDN w:val="0"/>
        <w:adjustRightInd w:val="0"/>
        <w:spacing w:after="0" w:line="240" w:lineRule="auto"/>
        <w:ind w:left="1170"/>
        <w:contextualSpacing w:val="0"/>
        <w:jc w:val="both"/>
        <w:rPr>
          <w:rFonts w:ascii="Times New Roman" w:hAnsi="Times New Roman" w:cs="Times New Roman"/>
        </w:rPr>
      </w:pPr>
      <w:r w:rsidRPr="00F977D6">
        <w:rPr>
          <w:rFonts w:ascii="Times New Roman" w:hAnsi="Times New Roman" w:cs="Times New Roman"/>
        </w:rPr>
        <w:t>Policy on ESPIGs</w:t>
      </w:r>
      <w:r w:rsidR="00993C54" w:rsidRPr="007C737B">
        <w:rPr>
          <w:rFonts w:ascii="Times New Roman" w:hAnsi="Times New Roman" w:cs="Times New Roman"/>
        </w:rPr>
        <w:t xml:space="preserve">. </w:t>
      </w:r>
    </w:p>
    <w:p w:rsidR="00993C54" w:rsidRPr="007C737B" w:rsidRDefault="00171736" w:rsidP="00171736">
      <w:pPr>
        <w:pStyle w:val="a3"/>
        <w:numPr>
          <w:ilvl w:val="1"/>
          <w:numId w:val="23"/>
        </w:numPr>
        <w:autoSpaceDE w:val="0"/>
        <w:autoSpaceDN w:val="0"/>
        <w:adjustRightInd w:val="0"/>
        <w:spacing w:after="240" w:line="276" w:lineRule="auto"/>
        <w:ind w:left="630"/>
        <w:contextualSpacing w:val="0"/>
        <w:jc w:val="both"/>
        <w:rPr>
          <w:rFonts w:ascii="Times New Roman" w:hAnsi="Times New Roman" w:cs="Times New Roman"/>
        </w:rPr>
      </w:pPr>
      <w:r w:rsidRPr="00171736">
        <w:rPr>
          <w:rFonts w:ascii="Times New Roman" w:hAnsi="Times New Roman" w:cs="Times New Roman"/>
        </w:rPr>
        <w:t>In the event of suspected misuse of funds, the GA follows its internal procedures on misuse of funds as well as the GPE Policy and Communications Protocol on Misuse of GPE Trust Funds</w:t>
      </w:r>
      <w:r w:rsidR="00993C54" w:rsidRPr="007C737B">
        <w:rPr>
          <w:rFonts w:ascii="Times New Roman" w:hAnsi="Times New Roman" w:cs="Times New Roman"/>
        </w:rPr>
        <w:t xml:space="preserve">. </w:t>
      </w:r>
    </w:p>
    <w:p w:rsidR="00993C54" w:rsidRPr="007C737B" w:rsidRDefault="00171736" w:rsidP="00171736">
      <w:pPr>
        <w:pStyle w:val="a3"/>
        <w:numPr>
          <w:ilvl w:val="0"/>
          <w:numId w:val="24"/>
        </w:numPr>
        <w:autoSpaceDE w:val="0"/>
        <w:autoSpaceDN w:val="0"/>
        <w:adjustRightInd w:val="0"/>
        <w:spacing w:after="240" w:line="276" w:lineRule="auto"/>
        <w:ind w:left="810"/>
        <w:contextualSpacing w:val="0"/>
        <w:jc w:val="both"/>
        <w:rPr>
          <w:rFonts w:ascii="Times New Roman" w:hAnsi="Times New Roman" w:cs="Times New Roman"/>
          <w:b/>
        </w:rPr>
      </w:pPr>
      <w:r w:rsidRPr="00171736">
        <w:rPr>
          <w:rFonts w:ascii="Times New Roman" w:hAnsi="Times New Roman" w:cs="Times New Roman"/>
          <w:b/>
          <w:bCs/>
        </w:rPr>
        <w:t>Program implementation and monitoring</w:t>
      </w:r>
      <w:r w:rsidR="00993C54" w:rsidRPr="007C737B">
        <w:rPr>
          <w:rFonts w:ascii="Times New Roman" w:hAnsi="Times New Roman" w:cs="Times New Roman"/>
          <w:b/>
          <w:bCs/>
        </w:rPr>
        <w:t xml:space="preserve"> </w:t>
      </w:r>
    </w:p>
    <w:p w:rsidR="00993C54" w:rsidRPr="007C737B" w:rsidRDefault="007424D8" w:rsidP="00AE7E6D">
      <w:pPr>
        <w:pStyle w:val="a3"/>
        <w:numPr>
          <w:ilvl w:val="1"/>
          <w:numId w:val="23"/>
        </w:numPr>
        <w:tabs>
          <w:tab w:val="left" w:pos="1080"/>
        </w:tabs>
        <w:autoSpaceDE w:val="0"/>
        <w:autoSpaceDN w:val="0"/>
        <w:adjustRightInd w:val="0"/>
        <w:spacing w:after="0" w:line="276" w:lineRule="auto"/>
        <w:ind w:left="630"/>
        <w:contextualSpacing w:val="0"/>
        <w:jc w:val="both"/>
        <w:rPr>
          <w:rFonts w:ascii="Times New Roman" w:hAnsi="Times New Roman" w:cs="Times New Roman"/>
        </w:rPr>
      </w:pPr>
      <w:r w:rsidRPr="007424D8">
        <w:rPr>
          <w:rFonts w:ascii="Times New Roman" w:hAnsi="Times New Roman" w:cs="Times New Roman"/>
        </w:rPr>
        <w:lastRenderedPageBreak/>
        <w:t>Ensures implementation of activities in line with the endorsed ESP and the approved program document</w:t>
      </w:r>
      <w:r w:rsidR="00993C54" w:rsidRPr="007C737B">
        <w:rPr>
          <w:rFonts w:ascii="Times New Roman" w:hAnsi="Times New Roman" w:cs="Times New Roman"/>
        </w:rPr>
        <w:t xml:space="preserve">. </w:t>
      </w:r>
    </w:p>
    <w:p w:rsidR="00993C54" w:rsidRPr="007C737B" w:rsidRDefault="007424D8" w:rsidP="00AE7E6D">
      <w:pPr>
        <w:pStyle w:val="a3"/>
        <w:numPr>
          <w:ilvl w:val="1"/>
          <w:numId w:val="23"/>
        </w:numPr>
        <w:tabs>
          <w:tab w:val="left" w:pos="1080"/>
        </w:tabs>
        <w:autoSpaceDE w:val="0"/>
        <w:autoSpaceDN w:val="0"/>
        <w:adjustRightInd w:val="0"/>
        <w:spacing w:after="0" w:line="276" w:lineRule="auto"/>
        <w:ind w:left="630"/>
        <w:contextualSpacing w:val="0"/>
        <w:jc w:val="both"/>
        <w:rPr>
          <w:rFonts w:ascii="Times New Roman" w:hAnsi="Times New Roman" w:cs="Times New Roman"/>
        </w:rPr>
      </w:pPr>
      <w:r w:rsidRPr="007424D8">
        <w:rPr>
          <w:rFonts w:ascii="Times New Roman" w:hAnsi="Times New Roman" w:cs="Times New Roman"/>
        </w:rPr>
        <w:t>Follows and implements the Policy on ESPIGs, which details procedures with respect to approval and notification processes, implementation period, reporting requirements, revisions and amendments</w:t>
      </w:r>
      <w:r w:rsidR="00993C54" w:rsidRPr="007C737B">
        <w:rPr>
          <w:rFonts w:ascii="Times New Roman" w:hAnsi="Times New Roman" w:cs="Times New Roman"/>
        </w:rPr>
        <w:t xml:space="preserve">. </w:t>
      </w:r>
    </w:p>
    <w:p w:rsidR="00993C54" w:rsidRPr="007C737B" w:rsidRDefault="007424D8" w:rsidP="00AE7E6D">
      <w:pPr>
        <w:pStyle w:val="a3"/>
        <w:numPr>
          <w:ilvl w:val="1"/>
          <w:numId w:val="23"/>
        </w:numPr>
        <w:tabs>
          <w:tab w:val="left" w:pos="1080"/>
        </w:tabs>
        <w:autoSpaceDE w:val="0"/>
        <w:autoSpaceDN w:val="0"/>
        <w:adjustRightInd w:val="0"/>
        <w:spacing w:after="0" w:line="276" w:lineRule="auto"/>
        <w:ind w:left="630"/>
        <w:contextualSpacing w:val="0"/>
        <w:jc w:val="both"/>
        <w:rPr>
          <w:rFonts w:ascii="Times New Roman" w:hAnsi="Times New Roman" w:cs="Times New Roman"/>
        </w:rPr>
      </w:pPr>
      <w:r w:rsidRPr="007424D8">
        <w:rPr>
          <w:rFonts w:ascii="Times New Roman" w:hAnsi="Times New Roman" w:cs="Times New Roman"/>
        </w:rPr>
        <w:t xml:space="preserve">Builds </w:t>
      </w:r>
      <w:r w:rsidR="005746A5">
        <w:rPr>
          <w:rFonts w:ascii="Times New Roman" w:hAnsi="Times New Roman" w:cs="Times New Roman"/>
        </w:rPr>
        <w:t>MER</w:t>
      </w:r>
      <w:r w:rsidR="001144D5">
        <w:rPr>
          <w:rFonts w:ascii="Times New Roman" w:hAnsi="Times New Roman" w:cs="Times New Roman"/>
        </w:rPr>
        <w:t xml:space="preserve"> </w:t>
      </w:r>
      <w:r w:rsidRPr="007424D8">
        <w:rPr>
          <w:rFonts w:ascii="Times New Roman" w:hAnsi="Times New Roman" w:cs="Times New Roman"/>
        </w:rPr>
        <w:t>capacity and provides technical support, as laid out in the approved program document for use of supervision fees and operational budgets</w:t>
      </w:r>
      <w:r w:rsidR="00993C54" w:rsidRPr="007C737B">
        <w:rPr>
          <w:rFonts w:ascii="Times New Roman" w:hAnsi="Times New Roman" w:cs="Times New Roman"/>
        </w:rPr>
        <w:t xml:space="preserve">. </w:t>
      </w:r>
    </w:p>
    <w:p w:rsidR="00993C54" w:rsidRPr="007C737B" w:rsidRDefault="007424D8" w:rsidP="00AE7E6D">
      <w:pPr>
        <w:pStyle w:val="a3"/>
        <w:numPr>
          <w:ilvl w:val="1"/>
          <w:numId w:val="23"/>
        </w:numPr>
        <w:tabs>
          <w:tab w:val="left" w:pos="1080"/>
        </w:tabs>
        <w:autoSpaceDE w:val="0"/>
        <w:autoSpaceDN w:val="0"/>
        <w:adjustRightInd w:val="0"/>
        <w:spacing w:after="0" w:line="276" w:lineRule="auto"/>
        <w:ind w:left="630"/>
        <w:contextualSpacing w:val="0"/>
        <w:jc w:val="both"/>
        <w:rPr>
          <w:rFonts w:ascii="Times New Roman" w:hAnsi="Times New Roman" w:cs="Times New Roman"/>
        </w:rPr>
      </w:pPr>
      <w:r w:rsidRPr="007424D8">
        <w:rPr>
          <w:rFonts w:ascii="Times New Roman" w:hAnsi="Times New Roman" w:cs="Times New Roman"/>
        </w:rPr>
        <w:t xml:space="preserve">Supports the </w:t>
      </w:r>
      <w:r w:rsidR="005746A5">
        <w:rPr>
          <w:rFonts w:ascii="Times New Roman" w:hAnsi="Times New Roman" w:cs="Times New Roman"/>
        </w:rPr>
        <w:t>MER</w:t>
      </w:r>
      <w:r w:rsidR="001144D5">
        <w:rPr>
          <w:rFonts w:ascii="Times New Roman" w:hAnsi="Times New Roman" w:cs="Times New Roman"/>
        </w:rPr>
        <w:t xml:space="preserve"> </w:t>
      </w:r>
      <w:r w:rsidRPr="007424D8">
        <w:rPr>
          <w:rFonts w:ascii="Times New Roman" w:hAnsi="Times New Roman" w:cs="Times New Roman"/>
        </w:rPr>
        <w:t>to assess quality and effectiveness of the program outcomes and/or outputs and to pursue the best programmatic solutions</w:t>
      </w:r>
      <w:r w:rsidR="00993C54" w:rsidRPr="007C737B">
        <w:rPr>
          <w:rFonts w:ascii="Times New Roman" w:hAnsi="Times New Roman" w:cs="Times New Roman"/>
        </w:rPr>
        <w:t xml:space="preserve">. </w:t>
      </w:r>
    </w:p>
    <w:p w:rsidR="00993C54" w:rsidRPr="007C737B" w:rsidRDefault="007424D8" w:rsidP="00AE7E6D">
      <w:pPr>
        <w:pStyle w:val="a3"/>
        <w:numPr>
          <w:ilvl w:val="1"/>
          <w:numId w:val="23"/>
        </w:numPr>
        <w:tabs>
          <w:tab w:val="left" w:pos="1080"/>
        </w:tabs>
        <w:autoSpaceDE w:val="0"/>
        <w:autoSpaceDN w:val="0"/>
        <w:adjustRightInd w:val="0"/>
        <w:spacing w:after="0" w:line="276" w:lineRule="auto"/>
        <w:ind w:left="630"/>
        <w:contextualSpacing w:val="0"/>
        <w:jc w:val="both"/>
        <w:rPr>
          <w:rFonts w:ascii="Times New Roman" w:hAnsi="Times New Roman" w:cs="Times New Roman"/>
        </w:rPr>
      </w:pPr>
      <w:r w:rsidRPr="007424D8">
        <w:rPr>
          <w:rFonts w:ascii="Times New Roman" w:hAnsi="Times New Roman" w:cs="Times New Roman"/>
        </w:rPr>
        <w:t>Diagnoses in a timely manner and works with the government to resolve any implementation issues that may adversely affect the desired outcome of the program and/or prevent the program from reaching the variable part targets</w:t>
      </w:r>
      <w:r w:rsidR="00993C54" w:rsidRPr="007C737B">
        <w:rPr>
          <w:rFonts w:ascii="Times New Roman" w:hAnsi="Times New Roman" w:cs="Times New Roman"/>
        </w:rPr>
        <w:t xml:space="preserve">. </w:t>
      </w:r>
    </w:p>
    <w:p w:rsidR="00993C54" w:rsidRPr="007C737B" w:rsidRDefault="007424D8" w:rsidP="00AE7E6D">
      <w:pPr>
        <w:pStyle w:val="a3"/>
        <w:numPr>
          <w:ilvl w:val="1"/>
          <w:numId w:val="23"/>
        </w:numPr>
        <w:tabs>
          <w:tab w:val="left" w:pos="1080"/>
        </w:tabs>
        <w:autoSpaceDE w:val="0"/>
        <w:autoSpaceDN w:val="0"/>
        <w:adjustRightInd w:val="0"/>
        <w:spacing w:after="0" w:line="240" w:lineRule="auto"/>
        <w:ind w:left="630"/>
        <w:contextualSpacing w:val="0"/>
        <w:jc w:val="both"/>
        <w:rPr>
          <w:rFonts w:ascii="Times New Roman" w:hAnsi="Times New Roman" w:cs="Times New Roman"/>
        </w:rPr>
      </w:pPr>
      <w:r w:rsidRPr="007424D8">
        <w:rPr>
          <w:rFonts w:ascii="Times New Roman" w:hAnsi="Times New Roman" w:cs="Times New Roman"/>
        </w:rPr>
        <w:t xml:space="preserve">Supports the </w:t>
      </w:r>
      <w:r w:rsidR="005746A5">
        <w:rPr>
          <w:rFonts w:ascii="Times New Roman" w:hAnsi="Times New Roman" w:cs="Times New Roman"/>
        </w:rPr>
        <w:t>MER</w:t>
      </w:r>
      <w:r w:rsidRPr="007424D8">
        <w:rPr>
          <w:rFonts w:ascii="Times New Roman" w:hAnsi="Times New Roman" w:cs="Times New Roman"/>
        </w:rPr>
        <w:t xml:space="preserve"> to notify the LEG of any actions that impact the overall progress of the program</w:t>
      </w:r>
      <w:r w:rsidR="00333249" w:rsidRPr="007C737B">
        <w:rPr>
          <w:rFonts w:ascii="Times New Roman" w:hAnsi="Times New Roman" w:cs="Times New Roman"/>
        </w:rPr>
        <w:t xml:space="preserve"> </w:t>
      </w:r>
      <w:r w:rsidRPr="007424D8">
        <w:rPr>
          <w:rFonts w:ascii="Times New Roman" w:hAnsi="Times New Roman" w:cs="Times New Roman"/>
        </w:rPr>
        <w:t>for the implementation of the Education Development Strategy for the years 2021-2025, “EDUCATION 2030”</w:t>
      </w:r>
      <w:r w:rsidR="00373B26" w:rsidRPr="007C737B">
        <w:rPr>
          <w:rFonts w:ascii="Times New Roman" w:hAnsi="Times New Roman" w:cs="Times New Roman"/>
          <w:bCs/>
        </w:rPr>
        <w:t xml:space="preserve">, </w:t>
      </w:r>
      <w:r w:rsidRPr="007424D8">
        <w:rPr>
          <w:rFonts w:ascii="Times New Roman" w:hAnsi="Times New Roman" w:cs="Times New Roman"/>
        </w:rPr>
        <w:t>including variable part targets, and how it impacts the ESP implementation and variable part targets. Such notification should include an explanation of what is being done to resolve the issue(s).</w:t>
      </w:r>
    </w:p>
    <w:p w:rsidR="00373B26" w:rsidRPr="007C737B" w:rsidRDefault="00373B26" w:rsidP="007D02FB">
      <w:pPr>
        <w:pStyle w:val="a3"/>
        <w:autoSpaceDE w:val="0"/>
        <w:autoSpaceDN w:val="0"/>
        <w:adjustRightInd w:val="0"/>
        <w:spacing w:after="0" w:line="240" w:lineRule="auto"/>
        <w:ind w:left="568"/>
        <w:contextualSpacing w:val="0"/>
        <w:jc w:val="both"/>
        <w:rPr>
          <w:rFonts w:ascii="Times New Roman" w:hAnsi="Times New Roman" w:cs="Times New Roman"/>
        </w:rPr>
      </w:pPr>
    </w:p>
    <w:p w:rsidR="00993C54" w:rsidRPr="007C737B" w:rsidRDefault="00AE7E6D" w:rsidP="00AE7E6D">
      <w:pPr>
        <w:pStyle w:val="a3"/>
        <w:numPr>
          <w:ilvl w:val="0"/>
          <w:numId w:val="24"/>
        </w:numPr>
        <w:tabs>
          <w:tab w:val="left" w:pos="810"/>
        </w:tabs>
        <w:autoSpaceDE w:val="0"/>
        <w:autoSpaceDN w:val="0"/>
        <w:adjustRightInd w:val="0"/>
        <w:spacing w:after="240" w:line="276" w:lineRule="auto"/>
        <w:ind w:left="810"/>
        <w:contextualSpacing w:val="0"/>
        <w:jc w:val="both"/>
        <w:rPr>
          <w:rFonts w:ascii="Times New Roman" w:hAnsi="Times New Roman" w:cs="Times New Roman"/>
          <w:b/>
        </w:rPr>
      </w:pPr>
      <w:r w:rsidRPr="00AE7E6D">
        <w:rPr>
          <w:rFonts w:ascii="Times New Roman" w:hAnsi="Times New Roman" w:cs="Times New Roman"/>
          <w:b/>
          <w:bCs/>
        </w:rPr>
        <w:t>Reporting</w:t>
      </w:r>
      <w:r w:rsidR="00993C54" w:rsidRPr="007C737B">
        <w:rPr>
          <w:rFonts w:ascii="Times New Roman" w:hAnsi="Times New Roman" w:cs="Times New Roman"/>
          <w:b/>
          <w:bCs/>
        </w:rPr>
        <w:t xml:space="preserve"> </w:t>
      </w:r>
    </w:p>
    <w:p w:rsidR="00373B26" w:rsidRPr="007C737B" w:rsidRDefault="00AE7E6D" w:rsidP="00AE7E6D">
      <w:pPr>
        <w:pStyle w:val="a3"/>
        <w:numPr>
          <w:ilvl w:val="1"/>
          <w:numId w:val="23"/>
        </w:numPr>
        <w:autoSpaceDE w:val="0"/>
        <w:autoSpaceDN w:val="0"/>
        <w:adjustRightInd w:val="0"/>
        <w:spacing w:after="0" w:line="240" w:lineRule="auto"/>
        <w:ind w:left="630"/>
        <w:jc w:val="both"/>
        <w:rPr>
          <w:rFonts w:ascii="Times New Roman" w:eastAsia="Times New Roman" w:hAnsi="Times New Roman" w:cs="Times New Roman"/>
        </w:rPr>
      </w:pPr>
      <w:r w:rsidRPr="00AE7E6D">
        <w:rPr>
          <w:rFonts w:ascii="Times New Roman" w:eastAsia="Times New Roman" w:hAnsi="Times New Roman" w:cs="Times New Roman"/>
        </w:rPr>
        <w:t xml:space="preserve">Reports to the management of the Ministry of Education and Research, the </w:t>
      </w:r>
      <w:r>
        <w:rPr>
          <w:rFonts w:ascii="Times New Roman" w:eastAsia="Times New Roman" w:hAnsi="Times New Roman" w:cs="Times New Roman"/>
        </w:rPr>
        <w:t>GPE</w:t>
      </w:r>
      <w:r w:rsidRPr="00AE7E6D">
        <w:rPr>
          <w:rFonts w:ascii="Times New Roman" w:eastAsia="Times New Roman" w:hAnsi="Times New Roman" w:cs="Times New Roman"/>
        </w:rPr>
        <w:t xml:space="preserve"> Council accordingly</w:t>
      </w:r>
      <w:r w:rsidR="00373B26" w:rsidRPr="007C737B">
        <w:rPr>
          <w:rFonts w:ascii="Times New Roman" w:eastAsia="Times New Roman" w:hAnsi="Times New Roman" w:cs="Times New Roman"/>
        </w:rPr>
        <w:t xml:space="preserve"> </w:t>
      </w:r>
      <w:r>
        <w:rPr>
          <w:rFonts w:ascii="Times New Roman" w:eastAsia="Times New Roman" w:hAnsi="Times New Roman" w:cs="Times New Roman"/>
        </w:rPr>
        <w:t>the</w:t>
      </w:r>
      <w:r w:rsidR="00373B26" w:rsidRPr="007C737B">
        <w:rPr>
          <w:rFonts w:ascii="Times New Roman" w:eastAsia="Times New Roman" w:hAnsi="Times New Roman" w:cs="Times New Roman"/>
        </w:rPr>
        <w:t xml:space="preserve"> </w:t>
      </w:r>
      <w:r w:rsidRPr="00AE7E6D">
        <w:rPr>
          <w:rFonts w:ascii="Times New Roman" w:hAnsi="Times New Roman" w:cs="Times New Roman"/>
        </w:rPr>
        <w:t>GA’s own procedures and reporting formats and the GPE standard reporting template to facilitate the tracking of overall grant performance</w:t>
      </w:r>
      <w:r w:rsidR="00333249" w:rsidRPr="007C737B">
        <w:rPr>
          <w:rFonts w:ascii="Times New Roman" w:eastAsia="Times New Roman" w:hAnsi="Times New Roman" w:cs="Times New Roman"/>
        </w:rPr>
        <w:t>.</w:t>
      </w:r>
    </w:p>
    <w:p w:rsidR="00993C54" w:rsidRPr="007C737B" w:rsidRDefault="00AE7E6D" w:rsidP="00AE7E6D">
      <w:pPr>
        <w:pStyle w:val="a3"/>
        <w:numPr>
          <w:ilvl w:val="1"/>
          <w:numId w:val="23"/>
        </w:numPr>
        <w:autoSpaceDE w:val="0"/>
        <w:autoSpaceDN w:val="0"/>
        <w:adjustRightInd w:val="0"/>
        <w:spacing w:after="0" w:line="240" w:lineRule="auto"/>
        <w:ind w:left="630"/>
        <w:jc w:val="both"/>
        <w:rPr>
          <w:rFonts w:ascii="Times New Roman" w:hAnsi="Times New Roman" w:cs="Times New Roman"/>
        </w:rPr>
      </w:pPr>
      <w:r w:rsidRPr="00AE7E6D">
        <w:rPr>
          <w:rFonts w:ascii="Times New Roman" w:hAnsi="Times New Roman" w:cs="Times New Roman"/>
        </w:rPr>
        <w:t>Provides an annual progress report through the tools described above to the Board via the Secretariat</w:t>
      </w:r>
      <w:r w:rsidR="00993C54" w:rsidRPr="007C737B">
        <w:rPr>
          <w:rFonts w:ascii="Times New Roman" w:hAnsi="Times New Roman" w:cs="Times New Roman"/>
        </w:rPr>
        <w:t xml:space="preserve">. </w:t>
      </w:r>
    </w:p>
    <w:p w:rsidR="00993C54" w:rsidRPr="007C737B" w:rsidRDefault="00AE7E6D" w:rsidP="000928F6">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AE7E6D">
        <w:rPr>
          <w:rFonts w:ascii="Times New Roman" w:hAnsi="Times New Roman" w:cs="Times New Roman"/>
        </w:rPr>
        <w:t xml:space="preserve">Supports the </w:t>
      </w:r>
      <w:r w:rsidR="005746A5">
        <w:rPr>
          <w:rFonts w:ascii="Times New Roman" w:hAnsi="Times New Roman" w:cs="Times New Roman"/>
        </w:rPr>
        <w:t>MER</w:t>
      </w:r>
      <w:r w:rsidRPr="00AE7E6D">
        <w:rPr>
          <w:rFonts w:ascii="Times New Roman" w:hAnsi="Times New Roman" w:cs="Times New Roman"/>
        </w:rPr>
        <w:t xml:space="preserve"> to periodically share with the LEG policy-related issues from ESPIG implementation relative to ESP implementation (or reports directly if directly responsible for implementation of the ESPIG).</w:t>
      </w:r>
      <w:r w:rsidR="003E645F" w:rsidRPr="007C737B">
        <w:rPr>
          <w:rFonts w:ascii="Times New Roman" w:hAnsi="Times New Roman" w:cs="Times New Roman"/>
        </w:rPr>
        <w:t xml:space="preserve"> </w:t>
      </w:r>
      <w:r w:rsidR="000928F6" w:rsidRPr="000928F6">
        <w:rPr>
          <w:rFonts w:ascii="Times New Roman" w:hAnsi="Times New Roman" w:cs="Times New Roman"/>
        </w:rPr>
        <w:t>As relevant, reporting should be integrated in JSRs within the broader assessment of ESP implementation</w:t>
      </w:r>
      <w:r w:rsidR="00333249" w:rsidRPr="007C737B">
        <w:rPr>
          <w:rFonts w:ascii="Times New Roman" w:hAnsi="Times New Roman" w:cs="Times New Roman"/>
          <w:bCs/>
        </w:rPr>
        <w:t xml:space="preserve"> </w:t>
      </w:r>
      <w:r w:rsidR="000928F6" w:rsidRPr="007424D8">
        <w:rPr>
          <w:rFonts w:ascii="Times New Roman" w:hAnsi="Times New Roman" w:cs="Times New Roman"/>
        </w:rPr>
        <w:t>for the Education Development Strategy for the years 2021-2025, “EDUCATION 2030”</w:t>
      </w:r>
      <w:r w:rsidR="00993C54" w:rsidRPr="007C737B">
        <w:rPr>
          <w:rFonts w:ascii="Times New Roman" w:hAnsi="Times New Roman" w:cs="Times New Roman"/>
        </w:rPr>
        <w:t xml:space="preserve">. </w:t>
      </w:r>
    </w:p>
    <w:p w:rsidR="00993C54" w:rsidRPr="007C737B" w:rsidRDefault="000928F6" w:rsidP="000928F6">
      <w:pPr>
        <w:pStyle w:val="a3"/>
        <w:numPr>
          <w:ilvl w:val="1"/>
          <w:numId w:val="23"/>
        </w:numPr>
        <w:autoSpaceDE w:val="0"/>
        <w:autoSpaceDN w:val="0"/>
        <w:adjustRightInd w:val="0"/>
        <w:spacing w:after="0" w:line="276" w:lineRule="auto"/>
        <w:ind w:left="630"/>
        <w:contextualSpacing w:val="0"/>
        <w:jc w:val="both"/>
        <w:rPr>
          <w:rFonts w:ascii="Times New Roman" w:hAnsi="Times New Roman" w:cs="Times New Roman"/>
        </w:rPr>
      </w:pPr>
      <w:r w:rsidRPr="000928F6">
        <w:rPr>
          <w:rFonts w:ascii="Times New Roman" w:hAnsi="Times New Roman" w:cs="Times New Roman"/>
        </w:rPr>
        <w:t>Holds semi-annual portfolio meetings with the Secretariat to facilitate joint problem-solving and keeps the Secretariat regularly informed on performance of the ESPIG to ensure good flow of information and timely reporting by the Secretariat to the Grants and Performance Committee and Board</w:t>
      </w:r>
      <w:r w:rsidR="00B94E58" w:rsidRPr="007C737B">
        <w:rPr>
          <w:rFonts w:ascii="Times New Roman" w:hAnsi="Times New Roman" w:cs="Times New Roman"/>
        </w:rPr>
        <w:t>.</w:t>
      </w:r>
      <w:r w:rsidR="003E645F" w:rsidRPr="007C737B">
        <w:rPr>
          <w:rFonts w:ascii="Times New Roman" w:hAnsi="Times New Roman" w:cs="Times New Roman"/>
        </w:rPr>
        <w:t xml:space="preserve"> </w:t>
      </w:r>
      <w:r w:rsidR="00993C54" w:rsidRPr="007C737B">
        <w:rPr>
          <w:rFonts w:ascii="Times New Roman" w:hAnsi="Times New Roman" w:cs="Times New Roman"/>
        </w:rPr>
        <w:t xml:space="preserve"> </w:t>
      </w:r>
    </w:p>
    <w:p w:rsidR="00993C54" w:rsidRPr="007C737B" w:rsidRDefault="000928F6" w:rsidP="000928F6">
      <w:pPr>
        <w:pStyle w:val="a3"/>
        <w:numPr>
          <w:ilvl w:val="1"/>
          <w:numId w:val="23"/>
        </w:numPr>
        <w:autoSpaceDE w:val="0"/>
        <w:autoSpaceDN w:val="0"/>
        <w:adjustRightInd w:val="0"/>
        <w:spacing w:after="240" w:line="276" w:lineRule="auto"/>
        <w:ind w:left="630"/>
        <w:contextualSpacing w:val="0"/>
        <w:jc w:val="both"/>
        <w:rPr>
          <w:rFonts w:ascii="Times New Roman" w:hAnsi="Times New Roman" w:cs="Times New Roman"/>
        </w:rPr>
      </w:pPr>
      <w:r w:rsidRPr="000928F6">
        <w:rPr>
          <w:rFonts w:ascii="Times New Roman" w:hAnsi="Times New Roman" w:cs="Times New Roman"/>
        </w:rPr>
        <w:t xml:space="preserve">GA must submit a completion report within six months from the </w:t>
      </w:r>
      <w:r>
        <w:rPr>
          <w:rFonts w:ascii="Times New Roman" w:hAnsi="Times New Roman" w:cs="Times New Roman"/>
        </w:rPr>
        <w:t>closure</w:t>
      </w:r>
      <w:r w:rsidRPr="000928F6">
        <w:rPr>
          <w:rFonts w:ascii="Times New Roman" w:hAnsi="Times New Roman" w:cs="Times New Roman"/>
        </w:rPr>
        <w:t xml:space="preserve"> of the Program for the implementation of the Education Development Strategy for the years 2021-2025, "EDUCATION 2030"</w:t>
      </w:r>
      <w:r w:rsidR="00993C54" w:rsidRPr="007C737B">
        <w:rPr>
          <w:rFonts w:ascii="Times New Roman" w:hAnsi="Times New Roman" w:cs="Times New Roman"/>
        </w:rPr>
        <w:t xml:space="preserve">. </w:t>
      </w:r>
    </w:p>
    <w:p w:rsidR="007512B3" w:rsidRPr="00972DE8" w:rsidRDefault="00972DE8" w:rsidP="00C903DB">
      <w:pPr>
        <w:pStyle w:val="a3"/>
        <w:numPr>
          <w:ilvl w:val="0"/>
          <w:numId w:val="9"/>
        </w:numPr>
        <w:tabs>
          <w:tab w:val="clear" w:pos="720"/>
          <w:tab w:val="num" w:pos="360"/>
        </w:tabs>
        <w:spacing w:after="0" w:line="240" w:lineRule="auto"/>
        <w:ind w:left="360"/>
        <w:jc w:val="both"/>
        <w:rPr>
          <w:rFonts w:ascii="Times New Roman" w:eastAsia="Times New Roman" w:hAnsi="Times New Roman" w:cs="Times New Roman"/>
        </w:rPr>
      </w:pPr>
      <w:r w:rsidRPr="00972DE8">
        <w:rPr>
          <w:rFonts w:ascii="Times New Roman" w:eastAsia="Times New Roman" w:hAnsi="Times New Roman" w:cs="Times New Roman"/>
          <w:b/>
          <w:bCs/>
        </w:rPr>
        <w:t>CRITERIA FOR SELECTION OF A GRANT AGENT</w:t>
      </w:r>
    </w:p>
    <w:p w:rsidR="00972DE8" w:rsidRPr="007C737B" w:rsidRDefault="00972DE8" w:rsidP="00972DE8">
      <w:pPr>
        <w:pStyle w:val="a3"/>
        <w:spacing w:after="0" w:line="240" w:lineRule="auto"/>
        <w:jc w:val="both"/>
        <w:rPr>
          <w:rFonts w:ascii="Times New Roman" w:eastAsia="Times New Roman" w:hAnsi="Times New Roman" w:cs="Times New Roman"/>
        </w:rPr>
      </w:pPr>
    </w:p>
    <w:p w:rsidR="009E166B" w:rsidRPr="007C737B" w:rsidRDefault="00972DE8" w:rsidP="007D02FB">
      <w:pPr>
        <w:spacing w:after="240" w:line="276" w:lineRule="auto"/>
        <w:jc w:val="both"/>
        <w:rPr>
          <w:rFonts w:ascii="Times New Roman" w:hAnsi="Times New Roman" w:cs="Times New Roman"/>
        </w:rPr>
      </w:pPr>
      <w:r w:rsidRPr="00972DE8">
        <w:rPr>
          <w:rFonts w:ascii="Times New Roman" w:hAnsi="Times New Roman" w:cs="Times New Roman"/>
        </w:rPr>
        <w:t xml:space="preserve">In order to implement a Grant offered by the </w:t>
      </w:r>
      <w:r>
        <w:rPr>
          <w:rFonts w:ascii="Times New Roman" w:hAnsi="Times New Roman" w:cs="Times New Roman"/>
        </w:rPr>
        <w:t>GPE</w:t>
      </w:r>
      <w:r w:rsidRPr="00972DE8">
        <w:rPr>
          <w:rFonts w:ascii="Times New Roman" w:hAnsi="Times New Roman" w:cs="Times New Roman"/>
        </w:rPr>
        <w:t>, the Grant Agent must meet the following criteria</w:t>
      </w:r>
      <w:r w:rsidR="009E166B" w:rsidRPr="007C737B">
        <w:rPr>
          <w:rFonts w:ascii="Times New Roman" w:hAnsi="Times New Roman" w:cs="Times New Roman"/>
        </w:rPr>
        <w:t xml:space="preserve">: </w:t>
      </w:r>
    </w:p>
    <w:tbl>
      <w:tblPr>
        <w:tblStyle w:val="a4"/>
        <w:tblW w:w="0" w:type="auto"/>
        <w:tblLook w:val="04A0"/>
      </w:tblPr>
      <w:tblGrid>
        <w:gridCol w:w="4697"/>
        <w:gridCol w:w="4697"/>
      </w:tblGrid>
      <w:tr w:rsidR="009E166B" w:rsidRPr="007C737B" w:rsidTr="004E7FFA">
        <w:tc>
          <w:tcPr>
            <w:tcW w:w="4697" w:type="dxa"/>
            <w:shd w:val="clear" w:color="auto" w:fill="AD69BF"/>
          </w:tcPr>
          <w:p w:rsidR="009E166B" w:rsidRPr="007C737B" w:rsidRDefault="00522594" w:rsidP="007D02FB">
            <w:pPr>
              <w:pStyle w:val="Default"/>
              <w:spacing w:after="240"/>
              <w:jc w:val="both"/>
              <w:rPr>
                <w:rFonts w:ascii="Times New Roman" w:hAnsi="Times New Roman" w:cs="Times New Roman"/>
                <w:b/>
                <w:color w:val="auto"/>
                <w:sz w:val="22"/>
                <w:szCs w:val="22"/>
              </w:rPr>
            </w:pPr>
            <w:r w:rsidRPr="00522594">
              <w:rPr>
                <w:rFonts w:ascii="Times New Roman" w:hAnsi="Times New Roman" w:cs="Times New Roman"/>
                <w:b/>
                <w:bCs/>
                <w:color w:val="auto"/>
                <w:sz w:val="22"/>
                <w:szCs w:val="22"/>
              </w:rPr>
              <w:t>Criteria</w:t>
            </w:r>
          </w:p>
        </w:tc>
        <w:tc>
          <w:tcPr>
            <w:tcW w:w="4697" w:type="dxa"/>
            <w:shd w:val="clear" w:color="auto" w:fill="AD69BF"/>
          </w:tcPr>
          <w:p w:rsidR="009E166B" w:rsidRPr="007C737B" w:rsidRDefault="00522594" w:rsidP="007D02FB">
            <w:pPr>
              <w:pStyle w:val="Default"/>
              <w:jc w:val="both"/>
              <w:rPr>
                <w:rFonts w:ascii="Times New Roman" w:hAnsi="Times New Roman" w:cs="Times New Roman"/>
                <w:b/>
                <w:color w:val="auto"/>
                <w:sz w:val="22"/>
                <w:szCs w:val="22"/>
              </w:rPr>
            </w:pPr>
            <w:r w:rsidRPr="00522594">
              <w:rPr>
                <w:rFonts w:ascii="Times New Roman" w:hAnsi="Times New Roman" w:cs="Times New Roman"/>
                <w:b/>
                <w:bCs/>
                <w:color w:val="auto"/>
                <w:sz w:val="22"/>
                <w:szCs w:val="22"/>
              </w:rPr>
              <w:t>Description</w:t>
            </w:r>
          </w:p>
        </w:tc>
      </w:tr>
      <w:tr w:rsidR="009E166B" w:rsidRPr="007C737B" w:rsidTr="004E7FFA">
        <w:tc>
          <w:tcPr>
            <w:tcW w:w="4697" w:type="dxa"/>
            <w:shd w:val="clear" w:color="auto" w:fill="F2F2F2" w:themeFill="background1" w:themeFillShade="F2"/>
          </w:tcPr>
          <w:p w:rsidR="009E166B" w:rsidRPr="007C737B" w:rsidRDefault="007D2E01" w:rsidP="007D02FB">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Ability to work through the most appropriate funding modality</w:t>
            </w:r>
          </w:p>
        </w:tc>
        <w:tc>
          <w:tcPr>
            <w:tcW w:w="4697" w:type="dxa"/>
          </w:tcPr>
          <w:p w:rsidR="009E166B" w:rsidRPr="007C737B" w:rsidRDefault="007D2E01" w:rsidP="00B94E58">
            <w:pPr>
              <w:pStyle w:val="a9"/>
              <w:jc w:val="both"/>
              <w:rPr>
                <w:rFonts w:ascii="Times New Roman" w:hAnsi="Times New Roman" w:cs="Times New Roman"/>
                <w:sz w:val="22"/>
                <w:szCs w:val="22"/>
              </w:rPr>
            </w:pPr>
            <w:r w:rsidRPr="007D2E01">
              <w:rPr>
                <w:rFonts w:ascii="Times New Roman" w:hAnsi="Times New Roman" w:cs="Times New Roman"/>
                <w:sz w:val="22"/>
                <w:szCs w:val="22"/>
              </w:rPr>
              <w:t>Ability to work with the funding modality that is preferred by the LEG for implementation of the ESPIG</w:t>
            </w:r>
            <w:r>
              <w:rPr>
                <w:rFonts w:ascii="Times New Roman" w:hAnsi="Times New Roman" w:cs="Times New Roman"/>
                <w:sz w:val="22"/>
                <w:szCs w:val="22"/>
              </w:rPr>
              <w:t>.</w:t>
            </w:r>
          </w:p>
        </w:tc>
      </w:tr>
      <w:tr w:rsidR="009E166B" w:rsidRPr="007C737B" w:rsidTr="004E7FFA">
        <w:tc>
          <w:tcPr>
            <w:tcW w:w="4697" w:type="dxa"/>
            <w:shd w:val="clear" w:color="auto" w:fill="F2F2F2" w:themeFill="background1" w:themeFillShade="F2"/>
          </w:tcPr>
          <w:p w:rsidR="009E166B" w:rsidRPr="007C737B" w:rsidRDefault="007D2E01" w:rsidP="00B94E58">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Ability to formulate and support implementation of programs of similar scope of work</w:t>
            </w:r>
          </w:p>
        </w:tc>
        <w:tc>
          <w:tcPr>
            <w:tcW w:w="4697" w:type="dxa"/>
          </w:tcPr>
          <w:p w:rsidR="009E166B" w:rsidRPr="007C737B" w:rsidRDefault="007D2E01" w:rsidP="007D02FB">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Nature, size and performance of the agency’s education portfolio in the country should be considered, including past performance as ESPIG grant agent</w:t>
            </w:r>
            <w:r w:rsidR="001B13FE" w:rsidRPr="007C737B">
              <w:rPr>
                <w:rFonts w:ascii="Times New Roman" w:hAnsi="Times New Roman" w:cs="Times New Roman"/>
                <w:color w:val="auto"/>
                <w:sz w:val="22"/>
                <w:szCs w:val="22"/>
              </w:rPr>
              <w:t xml:space="preserve"> </w:t>
            </w:r>
          </w:p>
        </w:tc>
      </w:tr>
      <w:tr w:rsidR="009E166B" w:rsidRPr="007C737B" w:rsidTr="004E7FFA">
        <w:tc>
          <w:tcPr>
            <w:tcW w:w="4697" w:type="dxa"/>
            <w:shd w:val="clear" w:color="auto" w:fill="F2F2F2" w:themeFill="background1" w:themeFillShade="F2"/>
          </w:tcPr>
          <w:p w:rsidR="009E166B" w:rsidRPr="007C737B" w:rsidRDefault="007D2E01" w:rsidP="007D02FB">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Appropriate administrative cost for delivery of the program</w:t>
            </w:r>
          </w:p>
        </w:tc>
        <w:tc>
          <w:tcPr>
            <w:tcW w:w="4697" w:type="dxa"/>
          </w:tcPr>
          <w:p w:rsidR="009E166B" w:rsidRPr="007C737B" w:rsidRDefault="007D2E01" w:rsidP="007D02FB">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 xml:space="preserve">Cost for implementation of the grant charged by the GA and implementing partners or charged to the grant for specific fiduciary or implementation </w:t>
            </w:r>
            <w:r w:rsidRPr="007D2E01">
              <w:rPr>
                <w:rFonts w:ascii="Times New Roman" w:hAnsi="Times New Roman" w:cs="Times New Roman"/>
                <w:color w:val="auto"/>
                <w:sz w:val="22"/>
                <w:szCs w:val="22"/>
              </w:rPr>
              <w:lastRenderedPageBreak/>
              <w:t>arrangement, including for program implementation units, accounting services, etc. In contexts that require a greater degree of GA involvement in implementation, these costs may be justifiably higher.</w:t>
            </w:r>
          </w:p>
        </w:tc>
      </w:tr>
      <w:tr w:rsidR="009E166B" w:rsidRPr="007C737B" w:rsidTr="004E7FFA">
        <w:tc>
          <w:tcPr>
            <w:tcW w:w="4697" w:type="dxa"/>
            <w:shd w:val="clear" w:color="auto" w:fill="F2F2F2" w:themeFill="background1" w:themeFillShade="F2"/>
          </w:tcPr>
          <w:p w:rsidR="009E166B" w:rsidRPr="007C737B" w:rsidRDefault="007D2E01" w:rsidP="007D02FB">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lastRenderedPageBreak/>
              <w:t>Ability to discharge fiduciary and administrative responsibilities</w:t>
            </w:r>
          </w:p>
        </w:tc>
        <w:tc>
          <w:tcPr>
            <w:tcW w:w="4697" w:type="dxa"/>
          </w:tcPr>
          <w:p w:rsidR="009E166B" w:rsidRPr="007C737B" w:rsidRDefault="007D2E01" w:rsidP="007D2E01">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Experience in-country with managing fiduciary and administrative risk, relative to (1) the funding modality and (2) the scope of the grant.</w:t>
            </w:r>
          </w:p>
        </w:tc>
      </w:tr>
      <w:tr w:rsidR="009E166B" w:rsidRPr="007C737B" w:rsidTr="004E7FFA">
        <w:tc>
          <w:tcPr>
            <w:tcW w:w="4697" w:type="dxa"/>
            <w:shd w:val="clear" w:color="auto" w:fill="F2F2F2" w:themeFill="background1" w:themeFillShade="F2"/>
          </w:tcPr>
          <w:p w:rsidR="009E166B" w:rsidRPr="007C737B" w:rsidRDefault="007D2E01" w:rsidP="007E250F">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Ability to support capacity building of the government in implementing the ESP</w:t>
            </w:r>
          </w:p>
        </w:tc>
        <w:tc>
          <w:tcPr>
            <w:tcW w:w="4697" w:type="dxa"/>
          </w:tcPr>
          <w:p w:rsidR="009E166B" w:rsidRPr="007C737B" w:rsidRDefault="007D2E01" w:rsidP="007D2E01">
            <w:pPr>
              <w:pStyle w:val="Default"/>
              <w:spacing w:line="276" w:lineRule="auto"/>
              <w:jc w:val="both"/>
              <w:rPr>
                <w:rFonts w:ascii="Times New Roman" w:hAnsi="Times New Roman" w:cs="Times New Roman"/>
                <w:color w:val="auto"/>
                <w:sz w:val="22"/>
                <w:szCs w:val="22"/>
              </w:rPr>
            </w:pPr>
            <w:r w:rsidRPr="007D2E01">
              <w:rPr>
                <w:rFonts w:ascii="Times New Roman" w:hAnsi="Times New Roman" w:cs="Times New Roman"/>
                <w:color w:val="auto"/>
                <w:sz w:val="22"/>
                <w:szCs w:val="22"/>
              </w:rPr>
              <w:t>Proven experience in-country reinforced by government capacity to deliver education services with domestic resources.</w:t>
            </w:r>
          </w:p>
        </w:tc>
      </w:tr>
      <w:tr w:rsidR="009E166B" w:rsidRPr="007C737B" w:rsidTr="004E7FFA">
        <w:tc>
          <w:tcPr>
            <w:tcW w:w="4697" w:type="dxa"/>
            <w:shd w:val="clear" w:color="auto" w:fill="F2F2F2" w:themeFill="background1" w:themeFillShade="F2"/>
          </w:tcPr>
          <w:p w:rsidR="009E166B" w:rsidRPr="007C737B" w:rsidRDefault="00637ED6" w:rsidP="007D02FB">
            <w:pPr>
              <w:pStyle w:val="Default"/>
              <w:spacing w:line="276" w:lineRule="auto"/>
              <w:jc w:val="both"/>
              <w:rPr>
                <w:rFonts w:ascii="Times New Roman" w:hAnsi="Times New Roman" w:cs="Times New Roman"/>
                <w:color w:val="auto"/>
                <w:sz w:val="22"/>
                <w:szCs w:val="22"/>
              </w:rPr>
            </w:pPr>
            <w:r w:rsidRPr="00637ED6">
              <w:rPr>
                <w:rFonts w:ascii="Times New Roman" w:hAnsi="Times New Roman" w:cs="Times New Roman"/>
                <w:color w:val="auto"/>
                <w:sz w:val="22"/>
                <w:szCs w:val="22"/>
              </w:rPr>
              <w:t>Commitment to joint sector dialogue and coordination</w:t>
            </w:r>
          </w:p>
        </w:tc>
        <w:tc>
          <w:tcPr>
            <w:tcW w:w="4697" w:type="dxa"/>
          </w:tcPr>
          <w:p w:rsidR="009E166B" w:rsidRPr="007C737B" w:rsidRDefault="00637ED6" w:rsidP="007D02FB">
            <w:pPr>
              <w:pStyle w:val="Default"/>
              <w:spacing w:line="276" w:lineRule="auto"/>
              <w:jc w:val="both"/>
              <w:rPr>
                <w:rFonts w:ascii="Times New Roman" w:hAnsi="Times New Roman" w:cs="Times New Roman"/>
                <w:color w:val="auto"/>
                <w:sz w:val="22"/>
                <w:szCs w:val="22"/>
              </w:rPr>
            </w:pPr>
            <w:r w:rsidRPr="00637ED6">
              <w:rPr>
                <w:rFonts w:ascii="Times New Roman" w:hAnsi="Times New Roman" w:cs="Times New Roman"/>
                <w:color w:val="auto"/>
                <w:sz w:val="22"/>
                <w:szCs w:val="22"/>
              </w:rPr>
              <w:t>Level and extent of participation in the LEG, development partner group and joint sector dialogue</w:t>
            </w:r>
            <w:r w:rsidR="009E166B" w:rsidRPr="007C737B">
              <w:rPr>
                <w:rFonts w:ascii="Times New Roman" w:hAnsi="Times New Roman" w:cs="Times New Roman"/>
                <w:color w:val="auto"/>
                <w:sz w:val="22"/>
                <w:szCs w:val="22"/>
              </w:rPr>
              <w:t>.</w:t>
            </w:r>
          </w:p>
        </w:tc>
      </w:tr>
      <w:tr w:rsidR="009E166B" w:rsidRPr="007C737B" w:rsidTr="004E7FFA">
        <w:tc>
          <w:tcPr>
            <w:tcW w:w="4697" w:type="dxa"/>
            <w:shd w:val="clear" w:color="auto" w:fill="F2F2F2" w:themeFill="background1" w:themeFillShade="F2"/>
          </w:tcPr>
          <w:p w:rsidR="009E166B" w:rsidRPr="007C737B" w:rsidRDefault="00637ED6" w:rsidP="00B94E58">
            <w:pPr>
              <w:pStyle w:val="Default"/>
              <w:spacing w:line="276" w:lineRule="auto"/>
              <w:jc w:val="both"/>
              <w:rPr>
                <w:rFonts w:ascii="Times New Roman" w:hAnsi="Times New Roman" w:cs="Times New Roman"/>
                <w:color w:val="auto"/>
                <w:sz w:val="22"/>
                <w:szCs w:val="22"/>
              </w:rPr>
            </w:pPr>
            <w:r w:rsidRPr="00637ED6">
              <w:rPr>
                <w:rFonts w:ascii="Times New Roman" w:hAnsi="Times New Roman" w:cs="Times New Roman"/>
                <w:color w:val="auto"/>
                <w:sz w:val="22"/>
                <w:szCs w:val="22"/>
              </w:rPr>
              <w:t>Agreement within the candidate GA at the highest appropriate level to take on this role</w:t>
            </w:r>
          </w:p>
        </w:tc>
        <w:tc>
          <w:tcPr>
            <w:tcW w:w="4697" w:type="dxa"/>
          </w:tcPr>
          <w:p w:rsidR="009E166B" w:rsidRPr="007C737B" w:rsidRDefault="00637ED6" w:rsidP="007E250F">
            <w:pPr>
              <w:pStyle w:val="Default"/>
              <w:spacing w:line="276" w:lineRule="auto"/>
              <w:jc w:val="both"/>
              <w:rPr>
                <w:rFonts w:ascii="Times New Roman" w:hAnsi="Times New Roman" w:cs="Times New Roman"/>
                <w:color w:val="auto"/>
                <w:sz w:val="22"/>
                <w:szCs w:val="22"/>
              </w:rPr>
            </w:pPr>
            <w:r w:rsidRPr="00637ED6">
              <w:rPr>
                <w:rFonts w:ascii="Times New Roman" w:hAnsi="Times New Roman" w:cs="Times New Roman"/>
                <w:color w:val="auto"/>
                <w:sz w:val="22"/>
                <w:szCs w:val="22"/>
              </w:rPr>
              <w:t>In most cases this would be clearance and support from the candidate agency’s HQ</w:t>
            </w:r>
            <w:r>
              <w:rPr>
                <w:rFonts w:ascii="Times New Roman" w:hAnsi="Times New Roman" w:cs="Times New Roman"/>
                <w:color w:val="auto"/>
                <w:sz w:val="22"/>
                <w:szCs w:val="22"/>
              </w:rPr>
              <w:t>.</w:t>
            </w:r>
          </w:p>
        </w:tc>
      </w:tr>
    </w:tbl>
    <w:p w:rsidR="009E166B" w:rsidRDefault="009E166B" w:rsidP="007D02FB">
      <w:pPr>
        <w:spacing w:after="0" w:line="240" w:lineRule="auto"/>
        <w:jc w:val="both"/>
        <w:rPr>
          <w:rFonts w:ascii="Times New Roman" w:hAnsi="Times New Roman" w:cs="Times New Roman"/>
        </w:rPr>
      </w:pPr>
    </w:p>
    <w:p w:rsidR="00EC4A36" w:rsidRPr="00EC4A36" w:rsidRDefault="00EC4A36" w:rsidP="007D02FB">
      <w:pPr>
        <w:spacing w:after="0" w:line="240" w:lineRule="auto"/>
        <w:jc w:val="both"/>
        <w:rPr>
          <w:rFonts w:ascii="Times New Roman" w:hAnsi="Times New Roman" w:cs="Times New Roman"/>
          <w:b/>
        </w:rPr>
      </w:pPr>
      <w:r w:rsidRPr="00EC4A36">
        <w:rPr>
          <w:rFonts w:ascii="Times New Roman" w:hAnsi="Times New Roman" w:cs="Times New Roman"/>
          <w:b/>
        </w:rPr>
        <w:t>Application file</w:t>
      </w:r>
      <w:bookmarkStart w:id="0" w:name="_GoBack"/>
      <w:bookmarkEnd w:id="0"/>
    </w:p>
    <w:p w:rsidR="00EC4A36" w:rsidRPr="007C737B" w:rsidRDefault="00EC4A36" w:rsidP="007D02FB">
      <w:pPr>
        <w:spacing w:after="0" w:line="240" w:lineRule="auto"/>
        <w:jc w:val="both"/>
        <w:rPr>
          <w:rFonts w:ascii="Times New Roman" w:hAnsi="Times New Roman" w:cs="Times New Roman"/>
        </w:rPr>
      </w:pPr>
    </w:p>
    <w:p w:rsidR="009904C9" w:rsidRPr="007C737B" w:rsidRDefault="00603E08" w:rsidP="007D02FB">
      <w:pPr>
        <w:spacing w:after="0" w:line="240" w:lineRule="auto"/>
        <w:jc w:val="both"/>
        <w:rPr>
          <w:rFonts w:ascii="Times New Roman" w:hAnsi="Times New Roman" w:cs="Times New Roman"/>
        </w:rPr>
      </w:pPr>
      <w:r w:rsidRPr="00603E08">
        <w:rPr>
          <w:rFonts w:ascii="Times New Roman" w:hAnsi="Times New Roman" w:cs="Times New Roman"/>
        </w:rPr>
        <w:t xml:space="preserve">Applicants are requested to show interest in being selected as a Grant Agent to </w:t>
      </w:r>
      <w:r w:rsidR="005746A5">
        <w:rPr>
          <w:rFonts w:ascii="Times New Roman" w:hAnsi="Times New Roman" w:cs="Times New Roman"/>
        </w:rPr>
        <w:t>MER</w:t>
      </w:r>
      <w:r w:rsidRPr="00603E08">
        <w:rPr>
          <w:rFonts w:ascii="Times New Roman" w:hAnsi="Times New Roman" w:cs="Times New Roman"/>
        </w:rPr>
        <w:t xml:space="preserve">, </w:t>
      </w:r>
      <w:r w:rsidR="00EC4A36" w:rsidRPr="00EC4A36">
        <w:rPr>
          <w:rFonts w:ascii="Times New Roman" w:hAnsi="Times New Roman" w:cs="Times New Roman"/>
        </w:rPr>
        <w:t>including in the application file written evidence, arguments and information -</w:t>
      </w:r>
      <w:r w:rsidR="00EC4A36">
        <w:rPr>
          <w:rFonts w:ascii="Times New Roman" w:hAnsi="Times New Roman" w:cs="Times New Roman"/>
        </w:rPr>
        <w:t xml:space="preserve"> </w:t>
      </w:r>
      <w:r w:rsidR="00EC4A36" w:rsidRPr="00EC4A36">
        <w:rPr>
          <w:rFonts w:ascii="Times New Roman" w:hAnsi="Times New Roman" w:cs="Times New Roman"/>
        </w:rPr>
        <w:t>for each of the above criteria</w:t>
      </w:r>
      <w:r w:rsidRPr="00603E08">
        <w:rPr>
          <w:rFonts w:ascii="Times New Roman" w:hAnsi="Times New Roman" w:cs="Times New Roman"/>
        </w:rPr>
        <w:t>.</w:t>
      </w:r>
      <w:r w:rsidR="009904C9" w:rsidRPr="007C737B">
        <w:rPr>
          <w:rFonts w:ascii="Times New Roman" w:hAnsi="Times New Roman" w:cs="Times New Roman"/>
        </w:rPr>
        <w:t xml:space="preserve"> </w:t>
      </w:r>
    </w:p>
    <w:p w:rsidR="009904C9" w:rsidRPr="007C737B" w:rsidRDefault="009904C9" w:rsidP="007D02FB">
      <w:pPr>
        <w:spacing w:after="0" w:line="240" w:lineRule="auto"/>
        <w:jc w:val="both"/>
        <w:rPr>
          <w:rFonts w:ascii="Times New Roman" w:hAnsi="Times New Roman" w:cs="Times New Roman"/>
        </w:rPr>
      </w:pPr>
    </w:p>
    <w:p w:rsidR="007512B3" w:rsidRPr="007C737B" w:rsidRDefault="007512B3" w:rsidP="007D02FB">
      <w:pPr>
        <w:spacing w:after="0" w:line="240" w:lineRule="auto"/>
        <w:jc w:val="both"/>
        <w:rPr>
          <w:rFonts w:ascii="Times New Roman" w:eastAsia="Times New Roman" w:hAnsi="Times New Roman" w:cs="Times New Roman"/>
        </w:rPr>
      </w:pPr>
    </w:p>
    <w:p w:rsidR="007512B3" w:rsidRDefault="00603E08" w:rsidP="00C903DB">
      <w:pPr>
        <w:pStyle w:val="a3"/>
        <w:numPr>
          <w:ilvl w:val="0"/>
          <w:numId w:val="9"/>
        </w:numPr>
        <w:tabs>
          <w:tab w:val="clear" w:pos="720"/>
          <w:tab w:val="num" w:pos="2340"/>
        </w:tabs>
        <w:spacing w:after="0" w:line="240" w:lineRule="auto"/>
        <w:ind w:left="360"/>
        <w:jc w:val="both"/>
        <w:rPr>
          <w:rFonts w:ascii="Times New Roman" w:eastAsia="Times New Roman" w:hAnsi="Times New Roman" w:cs="Times New Roman"/>
          <w:b/>
          <w:bCs/>
        </w:rPr>
      </w:pPr>
      <w:r w:rsidRPr="00603E08">
        <w:rPr>
          <w:rFonts w:ascii="Times New Roman" w:eastAsia="Times New Roman" w:hAnsi="Times New Roman" w:cs="Times New Roman"/>
          <w:b/>
          <w:bCs/>
        </w:rPr>
        <w:t>Duration of the mission, estimated time of entry and expected results</w:t>
      </w:r>
    </w:p>
    <w:p w:rsidR="00232E24" w:rsidRPr="007C737B" w:rsidRDefault="00232E24" w:rsidP="00232E24">
      <w:pPr>
        <w:pStyle w:val="a3"/>
        <w:spacing w:after="0" w:line="240" w:lineRule="auto"/>
        <w:jc w:val="both"/>
        <w:rPr>
          <w:rFonts w:ascii="Times New Roman" w:eastAsia="Times New Roman" w:hAnsi="Times New Roman" w:cs="Times New Roman"/>
          <w:b/>
          <w:bCs/>
        </w:rPr>
      </w:pPr>
    </w:p>
    <w:p w:rsidR="00B3151F" w:rsidRPr="007C737B" w:rsidRDefault="00603E08" w:rsidP="007D02FB">
      <w:pPr>
        <w:spacing w:after="120" w:line="276" w:lineRule="atLeast"/>
        <w:jc w:val="both"/>
        <w:rPr>
          <w:rFonts w:ascii="Times New Roman" w:eastAsia="Times New Roman" w:hAnsi="Times New Roman" w:cs="Times New Roman"/>
        </w:rPr>
      </w:pPr>
      <w:r w:rsidRPr="00603E08">
        <w:rPr>
          <w:rFonts w:ascii="Times New Roman" w:eastAsia="Times New Roman" w:hAnsi="Times New Roman" w:cs="Times New Roman"/>
        </w:rPr>
        <w:t xml:space="preserve">The Grant Agent will start the activity immediately after its approval by </w:t>
      </w:r>
      <w:r w:rsidR="005746A5">
        <w:rPr>
          <w:rFonts w:ascii="Times New Roman" w:eastAsia="Times New Roman" w:hAnsi="Times New Roman" w:cs="Times New Roman"/>
        </w:rPr>
        <w:t>MER</w:t>
      </w:r>
      <w:r w:rsidRPr="00603E08">
        <w:rPr>
          <w:rFonts w:ascii="Times New Roman" w:eastAsia="Times New Roman" w:hAnsi="Times New Roman" w:cs="Times New Roman"/>
        </w:rPr>
        <w:t xml:space="preserve"> and </w:t>
      </w:r>
      <w:r w:rsidR="004D7F5B">
        <w:rPr>
          <w:rFonts w:ascii="Times New Roman" w:eastAsia="Times New Roman" w:hAnsi="Times New Roman" w:cs="Times New Roman"/>
        </w:rPr>
        <w:t>LEG</w:t>
      </w:r>
      <w:r w:rsidRPr="00603E08">
        <w:rPr>
          <w:rFonts w:ascii="Times New Roman" w:eastAsia="Times New Roman" w:hAnsi="Times New Roman" w:cs="Times New Roman"/>
        </w:rPr>
        <w:t xml:space="preserve"> and will be active throughout the implementation of the Grant offered by </w:t>
      </w:r>
      <w:r>
        <w:rPr>
          <w:rFonts w:ascii="Times New Roman" w:eastAsia="Times New Roman" w:hAnsi="Times New Roman" w:cs="Times New Roman"/>
        </w:rPr>
        <w:t>GPE</w:t>
      </w:r>
      <w:r w:rsidR="0009684B" w:rsidRPr="007C737B">
        <w:rPr>
          <w:rFonts w:ascii="Times New Roman" w:eastAsia="Times New Roman" w:hAnsi="Times New Roman" w:cs="Times New Roman"/>
        </w:rPr>
        <w:t>.</w:t>
      </w:r>
      <w:r w:rsidR="00B3151F" w:rsidRPr="007C737B">
        <w:rPr>
          <w:rFonts w:ascii="Times New Roman" w:eastAsia="Times New Roman" w:hAnsi="Times New Roman" w:cs="Times New Roman"/>
        </w:rPr>
        <w:t xml:space="preserve"> </w:t>
      </w:r>
    </w:p>
    <w:p w:rsidR="007512B3" w:rsidRPr="007C737B" w:rsidRDefault="007512B3" w:rsidP="007D02FB">
      <w:pPr>
        <w:spacing w:after="0" w:line="240" w:lineRule="auto"/>
        <w:jc w:val="both"/>
        <w:rPr>
          <w:rFonts w:ascii="Times New Roman" w:eastAsia="Times New Roman" w:hAnsi="Times New Roman" w:cs="Times New Roman"/>
        </w:rPr>
      </w:pPr>
      <w:r w:rsidRPr="007C737B">
        <w:rPr>
          <w:rFonts w:ascii="Times New Roman" w:eastAsia="Times New Roman" w:hAnsi="Times New Roman" w:cs="Times New Roman"/>
        </w:rPr>
        <w:t> </w:t>
      </w:r>
    </w:p>
    <w:p w:rsidR="0086656A" w:rsidRPr="007C737B" w:rsidRDefault="00603E08" w:rsidP="007D02FB">
      <w:pPr>
        <w:jc w:val="both"/>
        <w:rPr>
          <w:rFonts w:ascii="Times New Roman" w:hAnsi="Times New Roman" w:cs="Times New Roman"/>
        </w:rPr>
      </w:pPr>
      <w:r w:rsidRPr="00603E08">
        <w:rPr>
          <w:rFonts w:ascii="Times New Roman" w:hAnsi="Times New Roman" w:cs="Times New Roman"/>
        </w:rPr>
        <w:t xml:space="preserve">The contest will also take place in the conditions </w:t>
      </w:r>
      <w:r w:rsidR="005B1D8A">
        <w:rPr>
          <w:rFonts w:ascii="Times New Roman" w:hAnsi="Times New Roman" w:cs="Times New Roman"/>
        </w:rPr>
        <w:t>if</w:t>
      </w:r>
      <w:r w:rsidRPr="00603E08">
        <w:rPr>
          <w:rFonts w:ascii="Times New Roman" w:hAnsi="Times New Roman" w:cs="Times New Roman"/>
        </w:rPr>
        <w:t xml:space="preserve"> will be only one application</w:t>
      </w:r>
      <w:r w:rsidR="00D4406A" w:rsidRPr="007C737B">
        <w:rPr>
          <w:rFonts w:ascii="Times New Roman" w:hAnsi="Times New Roman" w:cs="Times New Roman"/>
        </w:rPr>
        <w:t xml:space="preserve">. </w:t>
      </w:r>
    </w:p>
    <w:sectPr w:rsidR="0086656A" w:rsidRPr="007C737B" w:rsidSect="00C85318">
      <w:pgSz w:w="12240" w:h="15840"/>
      <w:pgMar w:top="1134"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6466" w16cex:dateUtc="2021-05-25T08:56:00Z"/>
  <w16cex:commentExtensible w16cex:durableId="245765A4" w16cex:dateUtc="2021-05-25T09:01:00Z"/>
  <w16cex:commentExtensible w16cex:durableId="2457659A" w16cex:dateUtc="2021-05-25T09:01:00Z"/>
  <w16cex:commentExtensible w16cex:durableId="245765B9" w16cex:dateUtc="2021-05-25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58D730" w16cid:durableId="24576466"/>
  <w16cid:commentId w16cid:paraId="30A7FF3B" w16cid:durableId="2457623B"/>
  <w16cid:commentId w16cid:paraId="01C1C8AE" w16cid:durableId="245765A4"/>
  <w16cid:commentId w16cid:paraId="37F74271" w16cid:durableId="2457623C"/>
  <w16cid:commentId w16cid:paraId="672AA01D" w16cid:durableId="2457659A"/>
  <w16cid:commentId w16cid:paraId="23BCB1E2" w16cid:durableId="2457623D"/>
  <w16cid:commentId w16cid:paraId="1C7A20C8" w16cid:durableId="245765B9"/>
  <w16cid:commentId w16cid:paraId="1900F3DC" w16cid:durableId="2457623E"/>
  <w16cid:commentId w16cid:paraId="549800B5" w16cid:durableId="2457623F"/>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New Times">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A5D"/>
    <w:multiLevelType w:val="hybridMultilevel"/>
    <w:tmpl w:val="41CA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C6152"/>
    <w:multiLevelType w:val="hybridMultilevel"/>
    <w:tmpl w:val="0468681A"/>
    <w:lvl w:ilvl="0" w:tplc="1CECE7F8">
      <w:start w:val="1"/>
      <w:numFmt w:val="decimal"/>
      <w:lvlText w:val="1.%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90A24"/>
    <w:multiLevelType w:val="hybridMultilevel"/>
    <w:tmpl w:val="A3346DD0"/>
    <w:lvl w:ilvl="0" w:tplc="4DAC4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F4FC0"/>
    <w:multiLevelType w:val="multilevel"/>
    <w:tmpl w:val="584CB794"/>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start w:val="5"/>
      <w:numFmt w:val="decimal"/>
      <w:lvlText w:val="%4."/>
      <w:lvlJc w:val="left"/>
      <w:pPr>
        <w:tabs>
          <w:tab w:val="num" w:pos="360"/>
        </w:tabs>
        <w:ind w:left="36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F1048"/>
    <w:multiLevelType w:val="hybridMultilevel"/>
    <w:tmpl w:val="69B272BC"/>
    <w:lvl w:ilvl="0" w:tplc="3702B050">
      <w:start w:val="1"/>
      <w:numFmt w:val="decimal"/>
      <w:lvlText w:val="3.%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A6393"/>
    <w:multiLevelType w:val="hybridMultilevel"/>
    <w:tmpl w:val="8974B4EC"/>
    <w:lvl w:ilvl="0" w:tplc="4F223B18">
      <w:start w:val="1"/>
      <w:numFmt w:val="decimal"/>
      <w:lvlText w:val="2.%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615D4F"/>
    <w:multiLevelType w:val="multilevel"/>
    <w:tmpl w:val="B1E87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682291"/>
    <w:multiLevelType w:val="multilevel"/>
    <w:tmpl w:val="889AF6A8"/>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start w:val="7"/>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CC1974"/>
    <w:multiLevelType w:val="multilevel"/>
    <w:tmpl w:val="6768644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71B3F"/>
    <w:multiLevelType w:val="hybridMultilevel"/>
    <w:tmpl w:val="082E0870"/>
    <w:lvl w:ilvl="0" w:tplc="D382BEAA">
      <w:start w:val="1"/>
      <w:numFmt w:val="decimal"/>
      <w:lvlText w:val="4.%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C4936"/>
    <w:multiLevelType w:val="multilevel"/>
    <w:tmpl w:val="B014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EB32CF"/>
    <w:multiLevelType w:val="multilevel"/>
    <w:tmpl w:val="BE12513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DF43BA"/>
    <w:multiLevelType w:val="hybridMultilevel"/>
    <w:tmpl w:val="D2C0CDCE"/>
    <w:lvl w:ilvl="0" w:tplc="4DAC40DC">
      <w:start w:val="1"/>
      <w:numFmt w:val="decimal"/>
      <w:lvlText w:val="%1."/>
      <w:lvlJc w:val="left"/>
      <w:pPr>
        <w:ind w:left="720" w:hanging="360"/>
      </w:pPr>
      <w:rPr>
        <w:rFonts w:hint="default"/>
      </w:rPr>
    </w:lvl>
    <w:lvl w:ilvl="1" w:tplc="2EAABAA0">
      <w:start w:val="3"/>
      <w:numFmt w:val="bullet"/>
      <w:lvlText w:val="-"/>
      <w:lvlJc w:val="left"/>
      <w:pPr>
        <w:ind w:left="1440" w:hanging="360"/>
      </w:pPr>
      <w:rPr>
        <w:rFonts w:ascii="Georgia" w:eastAsiaTheme="minorHAnsi" w:hAnsi="Georgia" w:cs="Georgia" w:hint="default"/>
      </w:rPr>
    </w:lvl>
    <w:lvl w:ilvl="2" w:tplc="1498761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93ED3"/>
    <w:multiLevelType w:val="hybridMultilevel"/>
    <w:tmpl w:val="C1A0C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357FA6"/>
    <w:multiLevelType w:val="multilevel"/>
    <w:tmpl w:val="ACD61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86132D"/>
    <w:multiLevelType w:val="hybridMultilevel"/>
    <w:tmpl w:val="5A56F432"/>
    <w:lvl w:ilvl="0" w:tplc="0D908D60">
      <w:start w:val="1"/>
      <w:numFmt w:val="decimal"/>
      <w:lvlText w:val="%1."/>
      <w:lvlJc w:val="left"/>
      <w:pPr>
        <w:ind w:left="720" w:hanging="360"/>
      </w:pPr>
      <w:rPr>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4516B"/>
    <w:multiLevelType w:val="multilevel"/>
    <w:tmpl w:val="64FA3F3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D71920"/>
    <w:multiLevelType w:val="hybridMultilevel"/>
    <w:tmpl w:val="2D928FB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0C86920"/>
    <w:multiLevelType w:val="hybridMultilevel"/>
    <w:tmpl w:val="A5D42326"/>
    <w:lvl w:ilvl="0" w:tplc="D39E11FC">
      <w:start w:val="1"/>
      <w:numFmt w:val="decimal"/>
      <w:lvlText w:val="%1)"/>
      <w:lvlJc w:val="left"/>
      <w:pPr>
        <w:ind w:left="720" w:hanging="360"/>
      </w:pPr>
      <w:rPr>
        <w:rFonts w:eastAsiaTheme="minorHAnsi" w:cstheme="minorBidi"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057E24"/>
    <w:multiLevelType w:val="multilevel"/>
    <w:tmpl w:val="05AAB1F8"/>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E7505E"/>
    <w:multiLevelType w:val="hybridMultilevel"/>
    <w:tmpl w:val="EEEED966"/>
    <w:lvl w:ilvl="0" w:tplc="413ADB4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A44065"/>
    <w:multiLevelType w:val="multilevel"/>
    <w:tmpl w:val="67ACB1B0"/>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6"/>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9D6049"/>
    <w:multiLevelType w:val="hybridMultilevel"/>
    <w:tmpl w:val="D5FCB4CE"/>
    <w:lvl w:ilvl="0" w:tplc="ABBA7F08">
      <w:start w:val="2"/>
      <w:numFmt w:val="bullet"/>
      <w:lvlText w:val="-"/>
      <w:lvlJc w:val="left"/>
      <w:pPr>
        <w:ind w:left="1080" w:hanging="360"/>
      </w:pPr>
      <w:rPr>
        <w:rFonts w:ascii="New Times" w:eastAsia="Times New Roman" w:hAnsi="New Times"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A444E41"/>
    <w:multiLevelType w:val="hybridMultilevel"/>
    <w:tmpl w:val="E51CFEBE"/>
    <w:lvl w:ilvl="0" w:tplc="2F30AD58">
      <w:start w:val="1"/>
      <w:numFmt w:val="lowerRoman"/>
      <w:lvlText w:val="(%1)"/>
      <w:lvlJc w:val="left"/>
      <w:pPr>
        <w:ind w:left="1070" w:hanging="360"/>
      </w:pPr>
      <w:rPr>
        <w:rFonts w:hint="default"/>
        <w:i w:val="0"/>
      </w:rPr>
    </w:lvl>
    <w:lvl w:ilvl="1" w:tplc="4C98F2F0">
      <w:start w:val="1"/>
      <w:numFmt w:val="bullet"/>
      <w:lvlText w:val="•"/>
      <w:lvlJc w:val="left"/>
      <w:pPr>
        <w:ind w:left="1648" w:hanging="360"/>
      </w:pPr>
      <w:rPr>
        <w:rFonts w:ascii="Arial" w:eastAsiaTheme="minorHAnsi" w:hAnsi="Arial" w:cs="Arial" w:hint="default"/>
        <w:color w:val="000000"/>
      </w:r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6B777CB8"/>
    <w:multiLevelType w:val="hybridMultilevel"/>
    <w:tmpl w:val="C6123EEC"/>
    <w:lvl w:ilvl="0" w:tplc="413ADB4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7D56B3"/>
    <w:multiLevelType w:val="hybridMultilevel"/>
    <w:tmpl w:val="A594B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6"/>
  </w:num>
  <w:num w:numId="4">
    <w:abstractNumId w:val="11"/>
  </w:num>
  <w:num w:numId="5">
    <w:abstractNumId w:val="19"/>
  </w:num>
  <w:num w:numId="6">
    <w:abstractNumId w:val="3"/>
  </w:num>
  <w:num w:numId="7">
    <w:abstractNumId w:val="21"/>
  </w:num>
  <w:num w:numId="8">
    <w:abstractNumId w:val="7"/>
  </w:num>
  <w:num w:numId="9">
    <w:abstractNumId w:val="8"/>
  </w:num>
  <w:num w:numId="10">
    <w:abstractNumId w:val="14"/>
  </w:num>
  <w:num w:numId="11">
    <w:abstractNumId w:val="25"/>
  </w:num>
  <w:num w:numId="12">
    <w:abstractNumId w:val="24"/>
  </w:num>
  <w:num w:numId="13">
    <w:abstractNumId w:val="20"/>
  </w:num>
  <w:num w:numId="14">
    <w:abstractNumId w:val="2"/>
  </w:num>
  <w:num w:numId="15">
    <w:abstractNumId w:val="18"/>
  </w:num>
  <w:num w:numId="16">
    <w:abstractNumId w:val="22"/>
  </w:num>
  <w:num w:numId="17">
    <w:abstractNumId w:val="15"/>
  </w:num>
  <w:num w:numId="18">
    <w:abstractNumId w:val="1"/>
  </w:num>
  <w:num w:numId="19">
    <w:abstractNumId w:val="0"/>
  </w:num>
  <w:num w:numId="20">
    <w:abstractNumId w:val="5"/>
  </w:num>
  <w:num w:numId="21">
    <w:abstractNumId w:val="4"/>
  </w:num>
  <w:num w:numId="22">
    <w:abstractNumId w:val="9"/>
  </w:num>
  <w:num w:numId="23">
    <w:abstractNumId w:val="12"/>
  </w:num>
  <w:num w:numId="24">
    <w:abstractNumId w:val="23"/>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00BFD"/>
    <w:rsid w:val="000928F6"/>
    <w:rsid w:val="0009684B"/>
    <w:rsid w:val="000B6165"/>
    <w:rsid w:val="000C2903"/>
    <w:rsid w:val="000D76D0"/>
    <w:rsid w:val="000E14E1"/>
    <w:rsid w:val="000E3AB2"/>
    <w:rsid w:val="000F32E1"/>
    <w:rsid w:val="001144D5"/>
    <w:rsid w:val="0015182B"/>
    <w:rsid w:val="0016349C"/>
    <w:rsid w:val="0016437B"/>
    <w:rsid w:val="00171736"/>
    <w:rsid w:val="001B13FE"/>
    <w:rsid w:val="001C430A"/>
    <w:rsid w:val="001D48F5"/>
    <w:rsid w:val="00210D82"/>
    <w:rsid w:val="00215E12"/>
    <w:rsid w:val="00232E24"/>
    <w:rsid w:val="00235C16"/>
    <w:rsid w:val="002D2DB0"/>
    <w:rsid w:val="002F45BE"/>
    <w:rsid w:val="00333249"/>
    <w:rsid w:val="003554B2"/>
    <w:rsid w:val="00373B26"/>
    <w:rsid w:val="003E645F"/>
    <w:rsid w:val="00400BFD"/>
    <w:rsid w:val="00410A01"/>
    <w:rsid w:val="00436986"/>
    <w:rsid w:val="00452CFD"/>
    <w:rsid w:val="004B4C65"/>
    <w:rsid w:val="004D7F5B"/>
    <w:rsid w:val="004E1806"/>
    <w:rsid w:val="00517C1C"/>
    <w:rsid w:val="00522594"/>
    <w:rsid w:val="005504F0"/>
    <w:rsid w:val="005649F5"/>
    <w:rsid w:val="0057112F"/>
    <w:rsid w:val="005746A5"/>
    <w:rsid w:val="005B0527"/>
    <w:rsid w:val="005B1D8A"/>
    <w:rsid w:val="005D0BB0"/>
    <w:rsid w:val="00603E08"/>
    <w:rsid w:val="00637ED6"/>
    <w:rsid w:val="00671DFA"/>
    <w:rsid w:val="00691BB7"/>
    <w:rsid w:val="006C6353"/>
    <w:rsid w:val="0070254E"/>
    <w:rsid w:val="00723B6D"/>
    <w:rsid w:val="00735079"/>
    <w:rsid w:val="007424D8"/>
    <w:rsid w:val="007512B3"/>
    <w:rsid w:val="007C737B"/>
    <w:rsid w:val="007D02FB"/>
    <w:rsid w:val="007D2E01"/>
    <w:rsid w:val="007E250F"/>
    <w:rsid w:val="007F4B58"/>
    <w:rsid w:val="00816194"/>
    <w:rsid w:val="0082052B"/>
    <w:rsid w:val="00825363"/>
    <w:rsid w:val="00864DE2"/>
    <w:rsid w:val="0086656A"/>
    <w:rsid w:val="00897F47"/>
    <w:rsid w:val="009166B9"/>
    <w:rsid w:val="00930D6F"/>
    <w:rsid w:val="00972DE8"/>
    <w:rsid w:val="009904C9"/>
    <w:rsid w:val="00993C54"/>
    <w:rsid w:val="0099747F"/>
    <w:rsid w:val="009B3AB9"/>
    <w:rsid w:val="009E166B"/>
    <w:rsid w:val="00A028DC"/>
    <w:rsid w:val="00A10FBB"/>
    <w:rsid w:val="00A150ED"/>
    <w:rsid w:val="00A173C3"/>
    <w:rsid w:val="00A5278D"/>
    <w:rsid w:val="00A55710"/>
    <w:rsid w:val="00A7171B"/>
    <w:rsid w:val="00AE7E6D"/>
    <w:rsid w:val="00AF21DA"/>
    <w:rsid w:val="00B12E31"/>
    <w:rsid w:val="00B3151F"/>
    <w:rsid w:val="00B33325"/>
    <w:rsid w:val="00B453A8"/>
    <w:rsid w:val="00B6254F"/>
    <w:rsid w:val="00B64346"/>
    <w:rsid w:val="00B94E58"/>
    <w:rsid w:val="00BE18E9"/>
    <w:rsid w:val="00C57876"/>
    <w:rsid w:val="00C85318"/>
    <w:rsid w:val="00C903DB"/>
    <w:rsid w:val="00D24B36"/>
    <w:rsid w:val="00D4406A"/>
    <w:rsid w:val="00D62D78"/>
    <w:rsid w:val="00DF1DE1"/>
    <w:rsid w:val="00DF323D"/>
    <w:rsid w:val="00DF4C84"/>
    <w:rsid w:val="00E25958"/>
    <w:rsid w:val="00E415FF"/>
    <w:rsid w:val="00E555E4"/>
    <w:rsid w:val="00EB36E9"/>
    <w:rsid w:val="00EC4A36"/>
    <w:rsid w:val="00EE03A3"/>
    <w:rsid w:val="00F11E32"/>
    <w:rsid w:val="00F54B7D"/>
    <w:rsid w:val="00F977D6"/>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DFA"/>
    <w:pPr>
      <w:ind w:left="720"/>
      <w:contextualSpacing/>
    </w:pPr>
  </w:style>
  <w:style w:type="paragraph" w:styleId="HTML">
    <w:name w:val="HTML Preformatted"/>
    <w:basedOn w:val="a"/>
    <w:link w:val="HTML0"/>
    <w:uiPriority w:val="99"/>
    <w:semiHidden/>
    <w:unhideWhenUsed/>
    <w:rsid w:val="00671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671DFA"/>
    <w:rPr>
      <w:rFonts w:ascii="Courier New" w:eastAsia="Times New Roman" w:hAnsi="Courier New" w:cs="Courier New"/>
      <w:sz w:val="20"/>
      <w:szCs w:val="20"/>
      <w:lang w:val="ru-RU" w:eastAsia="ru-RU"/>
    </w:rPr>
  </w:style>
  <w:style w:type="paragraph" w:customStyle="1" w:styleId="ydpb2d8a69cyiv5559525934msonormal">
    <w:name w:val="ydpb2d8a69cyiv5559525934msonormal"/>
    <w:basedOn w:val="a"/>
    <w:rsid w:val="00723B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9E166B"/>
    <w:pPr>
      <w:autoSpaceDE w:val="0"/>
      <w:autoSpaceDN w:val="0"/>
      <w:adjustRightInd w:val="0"/>
      <w:spacing w:after="0" w:line="240" w:lineRule="auto"/>
    </w:pPr>
    <w:rPr>
      <w:rFonts w:ascii="Arial" w:hAnsi="Arial" w:cs="Arial"/>
      <w:color w:val="000000"/>
      <w:sz w:val="24"/>
      <w:szCs w:val="24"/>
    </w:rPr>
  </w:style>
  <w:style w:type="table" w:styleId="a4">
    <w:name w:val="Table Grid"/>
    <w:basedOn w:val="a1"/>
    <w:uiPriority w:val="39"/>
    <w:rsid w:val="009E1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93C54"/>
    <w:rPr>
      <w:color w:val="0563C1" w:themeColor="hyperlink"/>
      <w:u w:val="single"/>
    </w:rPr>
  </w:style>
  <w:style w:type="paragraph" w:styleId="a6">
    <w:name w:val="Balloon Text"/>
    <w:basedOn w:val="a"/>
    <w:link w:val="a7"/>
    <w:uiPriority w:val="99"/>
    <w:semiHidden/>
    <w:unhideWhenUsed/>
    <w:rsid w:val="0009684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9684B"/>
    <w:rPr>
      <w:rFonts w:ascii="Segoe UI" w:hAnsi="Segoe UI" w:cs="Segoe UI"/>
      <w:sz w:val="18"/>
      <w:szCs w:val="18"/>
    </w:rPr>
  </w:style>
  <w:style w:type="character" w:styleId="a8">
    <w:name w:val="annotation reference"/>
    <w:basedOn w:val="a0"/>
    <w:uiPriority w:val="99"/>
    <w:semiHidden/>
    <w:unhideWhenUsed/>
    <w:rsid w:val="009904C9"/>
    <w:rPr>
      <w:sz w:val="16"/>
      <w:szCs w:val="16"/>
    </w:rPr>
  </w:style>
  <w:style w:type="paragraph" w:styleId="a9">
    <w:name w:val="annotation text"/>
    <w:basedOn w:val="a"/>
    <w:link w:val="aa"/>
    <w:uiPriority w:val="99"/>
    <w:unhideWhenUsed/>
    <w:rsid w:val="009904C9"/>
    <w:pPr>
      <w:spacing w:line="240" w:lineRule="auto"/>
    </w:pPr>
    <w:rPr>
      <w:sz w:val="20"/>
      <w:szCs w:val="20"/>
    </w:rPr>
  </w:style>
  <w:style w:type="character" w:customStyle="1" w:styleId="aa">
    <w:name w:val="Текст примечания Знак"/>
    <w:basedOn w:val="a0"/>
    <w:link w:val="a9"/>
    <w:uiPriority w:val="99"/>
    <w:rsid w:val="009904C9"/>
    <w:rPr>
      <w:sz w:val="20"/>
      <w:szCs w:val="20"/>
    </w:rPr>
  </w:style>
  <w:style w:type="paragraph" w:styleId="ab">
    <w:name w:val="annotation subject"/>
    <w:basedOn w:val="a9"/>
    <w:next w:val="a9"/>
    <w:link w:val="ac"/>
    <w:uiPriority w:val="99"/>
    <w:semiHidden/>
    <w:unhideWhenUsed/>
    <w:rsid w:val="009904C9"/>
    <w:rPr>
      <w:b/>
      <w:bCs/>
    </w:rPr>
  </w:style>
  <w:style w:type="character" w:customStyle="1" w:styleId="ac">
    <w:name w:val="Тема примечания Знак"/>
    <w:basedOn w:val="aa"/>
    <w:link w:val="ab"/>
    <w:uiPriority w:val="99"/>
    <w:semiHidden/>
    <w:rsid w:val="009904C9"/>
    <w:rPr>
      <w:b/>
      <w:bCs/>
      <w:sz w:val="20"/>
      <w:szCs w:val="20"/>
    </w:rPr>
  </w:style>
  <w:style w:type="character" w:styleId="ad">
    <w:name w:val="FollowedHyperlink"/>
    <w:basedOn w:val="a0"/>
    <w:uiPriority w:val="99"/>
    <w:semiHidden/>
    <w:unhideWhenUsed/>
    <w:rsid w:val="00517C1C"/>
    <w:rPr>
      <w:color w:val="954F72" w:themeColor="followedHyperlink"/>
      <w:u w:val="single"/>
    </w:rPr>
  </w:style>
  <w:style w:type="character" w:customStyle="1" w:styleId="jlqj4b">
    <w:name w:val="jlqj4b"/>
    <w:basedOn w:val="a0"/>
    <w:rsid w:val="0070254E"/>
  </w:style>
</w:styles>
</file>

<file path=word/webSettings.xml><?xml version="1.0" encoding="utf-8"?>
<w:webSettings xmlns:r="http://schemas.openxmlformats.org/officeDocument/2006/relationships" xmlns:w="http://schemas.openxmlformats.org/wordprocessingml/2006/main">
  <w:divs>
    <w:div w:id="358822024">
      <w:bodyDiv w:val="1"/>
      <w:marLeft w:val="0"/>
      <w:marRight w:val="0"/>
      <w:marTop w:val="0"/>
      <w:marBottom w:val="0"/>
      <w:divBdr>
        <w:top w:val="none" w:sz="0" w:space="0" w:color="auto"/>
        <w:left w:val="none" w:sz="0" w:space="0" w:color="auto"/>
        <w:bottom w:val="none" w:sz="0" w:space="0" w:color="auto"/>
        <w:right w:val="none" w:sz="0" w:space="0" w:color="auto"/>
      </w:divBdr>
    </w:div>
    <w:div w:id="1467818915">
      <w:bodyDiv w:val="1"/>
      <w:marLeft w:val="0"/>
      <w:marRight w:val="0"/>
      <w:marTop w:val="0"/>
      <w:marBottom w:val="0"/>
      <w:divBdr>
        <w:top w:val="none" w:sz="0" w:space="0" w:color="auto"/>
        <w:left w:val="none" w:sz="0" w:space="0" w:color="auto"/>
        <w:bottom w:val="none" w:sz="0" w:space="0" w:color="auto"/>
        <w:right w:val="none" w:sz="0" w:space="0" w:color="auto"/>
      </w:divBdr>
    </w:div>
    <w:div w:id="1742554159">
      <w:bodyDiv w:val="1"/>
      <w:marLeft w:val="0"/>
      <w:marRight w:val="0"/>
      <w:marTop w:val="0"/>
      <w:marBottom w:val="0"/>
      <w:divBdr>
        <w:top w:val="none" w:sz="0" w:space="0" w:color="auto"/>
        <w:left w:val="none" w:sz="0" w:space="0" w:color="auto"/>
        <w:bottom w:val="none" w:sz="0" w:space="0" w:color="auto"/>
        <w:right w:val="none" w:sz="0" w:space="0" w:color="auto"/>
      </w:divBdr>
    </w:div>
    <w:div w:id="206976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lobalpartnership.org/content/grant-agents-minimum-standards"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www.globalpartnership.org/content/standard-selection-process-grant-ag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DB08F-AF24-41F5-9509-2D66C607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9082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PavlovL</cp:lastModifiedBy>
  <cp:revision>2</cp:revision>
  <cp:lastPrinted>2021-06-15T05:49:00Z</cp:lastPrinted>
  <dcterms:created xsi:type="dcterms:W3CDTF">2021-08-18T08:27:00Z</dcterms:created>
  <dcterms:modified xsi:type="dcterms:W3CDTF">2021-08-18T08:27:00Z</dcterms:modified>
</cp:coreProperties>
</file>