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30AC" w14:textId="77777777" w:rsidR="00E756F0" w:rsidRPr="00976ED2" w:rsidRDefault="00E756F0" w:rsidP="00E756F0">
      <w:pPr>
        <w:pStyle w:val="Heading1a"/>
        <w:keepNext w:val="0"/>
        <w:keepLines w:val="0"/>
        <w:tabs>
          <w:tab w:val="clear" w:pos="-720"/>
        </w:tabs>
        <w:suppressAutoHyphens w:val="0"/>
        <w:rPr>
          <w:caps/>
          <w:smallCaps w:val="0"/>
          <w:sz w:val="24"/>
          <w:szCs w:val="24"/>
        </w:rPr>
      </w:pPr>
      <w:r w:rsidRPr="00976ED2">
        <w:rPr>
          <w:caps/>
          <w:smallCaps w:val="0"/>
          <w:sz w:val="24"/>
          <w:szCs w:val="24"/>
        </w:rPr>
        <w:t>EDUCATION QUALITY IMPROVEMENT Project</w:t>
      </w:r>
    </w:p>
    <w:p w14:paraId="775C1F4E" w14:textId="77777777" w:rsidR="00E756F0" w:rsidRPr="00976ED2" w:rsidRDefault="00E756F0" w:rsidP="00E756F0">
      <w:pPr>
        <w:pStyle w:val="Heading1a"/>
        <w:keepNext w:val="0"/>
        <w:keepLines w:val="0"/>
        <w:tabs>
          <w:tab w:val="clear" w:pos="-720"/>
        </w:tabs>
        <w:suppressAutoHyphens w:val="0"/>
        <w:rPr>
          <w:bCs/>
          <w:smallCaps w:val="0"/>
          <w:sz w:val="24"/>
          <w:szCs w:val="24"/>
        </w:rPr>
      </w:pPr>
      <w:r w:rsidRPr="00976ED2">
        <w:rPr>
          <w:bCs/>
          <w:smallCaps w:val="0"/>
          <w:sz w:val="24"/>
          <w:szCs w:val="24"/>
        </w:rPr>
        <w:t>MINISTRY OF EDUCATION AND RESEARCH</w:t>
      </w:r>
    </w:p>
    <w:p w14:paraId="2429F7F6" w14:textId="77777777" w:rsidR="00E756F0" w:rsidRPr="00976ED2" w:rsidRDefault="00E756F0" w:rsidP="00E756F0">
      <w:pPr>
        <w:pStyle w:val="Heading1a"/>
        <w:keepNext w:val="0"/>
        <w:keepLines w:val="0"/>
        <w:tabs>
          <w:tab w:val="clear" w:pos="-720"/>
        </w:tabs>
        <w:suppressAutoHyphens w:val="0"/>
        <w:rPr>
          <w:bCs/>
          <w:smallCaps w:val="0"/>
          <w:sz w:val="24"/>
          <w:szCs w:val="24"/>
        </w:rPr>
      </w:pPr>
    </w:p>
    <w:p w14:paraId="791A5F52" w14:textId="6CF02574" w:rsidR="00E756F0" w:rsidRPr="00976ED2" w:rsidRDefault="00E756F0" w:rsidP="00E756F0">
      <w:pPr>
        <w:pStyle w:val="Listparagraf"/>
        <w:spacing w:after="0"/>
        <w:rPr>
          <w:rFonts w:ascii="Times New Roman" w:hAnsi="Times New Roman" w:cs="Times New Roman"/>
          <w:b/>
          <w:sz w:val="24"/>
          <w:szCs w:val="24"/>
        </w:rPr>
      </w:pPr>
      <w:r w:rsidRPr="00976ED2">
        <w:rPr>
          <w:rFonts w:ascii="Times New Roman" w:hAnsi="Times New Roman" w:cs="Times New Roman"/>
          <w:b/>
          <w:sz w:val="24"/>
          <w:szCs w:val="24"/>
        </w:rPr>
        <w:t>Procurement Reference No.: MD-MOED-</w:t>
      </w:r>
      <w:r w:rsidR="00EA68BD" w:rsidRPr="00976ED2">
        <w:rPr>
          <w:rFonts w:ascii="Times New Roman" w:hAnsi="Times New Roman" w:cs="Times New Roman"/>
          <w:b/>
          <w:sz w:val="24"/>
          <w:szCs w:val="24"/>
        </w:rPr>
        <w:t>559491</w:t>
      </w:r>
      <w:r w:rsidRPr="00976ED2">
        <w:rPr>
          <w:rFonts w:ascii="Times New Roman" w:hAnsi="Times New Roman" w:cs="Times New Roman"/>
          <w:b/>
          <w:sz w:val="24"/>
          <w:szCs w:val="24"/>
        </w:rPr>
        <w:t>-CS-CQS</w:t>
      </w:r>
    </w:p>
    <w:p w14:paraId="03C7CD85" w14:textId="77777777" w:rsidR="00E756F0" w:rsidRPr="00976ED2" w:rsidRDefault="00E756F0" w:rsidP="00E756F0">
      <w:pPr>
        <w:pStyle w:val="Heading1a"/>
        <w:keepNext w:val="0"/>
        <w:keepLines w:val="0"/>
        <w:tabs>
          <w:tab w:val="clear" w:pos="-720"/>
        </w:tabs>
        <w:suppressAutoHyphens w:val="0"/>
        <w:jc w:val="left"/>
        <w:rPr>
          <w:caps/>
          <w:smallCaps w:val="0"/>
          <w:sz w:val="24"/>
          <w:szCs w:val="24"/>
        </w:rPr>
      </w:pPr>
    </w:p>
    <w:p w14:paraId="23241D31" w14:textId="796A55C9" w:rsidR="00E756F0" w:rsidRPr="00976ED2" w:rsidRDefault="00E756F0" w:rsidP="00E756F0">
      <w:pPr>
        <w:jc w:val="center"/>
        <w:rPr>
          <w:rFonts w:ascii="Times New Roman" w:hAnsi="Times New Roman" w:cs="Times New Roman"/>
          <w:sz w:val="24"/>
          <w:szCs w:val="24"/>
        </w:rPr>
      </w:pPr>
      <w:r w:rsidRPr="00976ED2">
        <w:rPr>
          <w:rFonts w:ascii="Times New Roman" w:hAnsi="Times New Roman" w:cs="Times New Roman"/>
          <w:b/>
          <w:bCs/>
          <w:sz w:val="24"/>
          <w:szCs w:val="24"/>
        </w:rPr>
        <w:t>TERMS OF REFERENCE</w:t>
      </w:r>
    </w:p>
    <w:p w14:paraId="596026AF" w14:textId="77777777" w:rsidR="0006244D" w:rsidRPr="00976ED2" w:rsidRDefault="00CA7F4D">
      <w:pPr>
        <w:spacing w:before="200"/>
        <w:jc w:val="center"/>
        <w:rPr>
          <w:rFonts w:ascii="Times New Roman" w:eastAsia="Times New Roman" w:hAnsi="Times New Roman" w:cs="Times New Roman"/>
          <w:b/>
          <w:bCs/>
          <w:sz w:val="24"/>
          <w:szCs w:val="24"/>
        </w:rPr>
      </w:pPr>
      <w:r w:rsidRPr="00976ED2">
        <w:rPr>
          <w:rFonts w:ascii="Times New Roman" w:eastAsia="Times New Roman" w:hAnsi="Times New Roman" w:cs="Times New Roman"/>
          <w:b/>
          <w:bCs/>
          <w:sz w:val="24"/>
          <w:szCs w:val="24"/>
        </w:rPr>
        <w:t>Consulting Company to support selected higher education institutions in conducting comprehensive institutional financial diagnostics, institutional asset audits, identifying revenue growth and diversification opportunities, improving financial management and governance, and developing five-year financial sustainability strategies</w:t>
      </w:r>
    </w:p>
    <w:p w14:paraId="5EADBBEF"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t>1. Background information on the project</w:t>
      </w:r>
    </w:p>
    <w:p w14:paraId="4A0FA281"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Moldova Higher Education Project (MHEP) is a World Bank-financed Project to be implemented between May 2020 and December 2029. The original Project is financed by the International Development Association (IDA) Credit of EUR 35.7 million. To continue education reforms in the higher education sector and strengthen the capacity for research and innovation in the higher education system to enable growth in priority economic sectors, the Government of Moldova requested Additional Financing for MHEP, which was approved by the Bank on May 13, 2025.</w:t>
      </w:r>
    </w:p>
    <w:p w14:paraId="54DA112B"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Additional Financing (AF) is financed by the International Bank for Reconstruction and Development (IBRD) credit of EUR 30 million and concessional co-financing from the Global Concessional Financing Facility (GCFF) in the amount of US$8.475 million equivalent (EUR 7.5 million). The Loan Agreement (Additional Financing for Higher Education Project) was ratified by the Parliament of the Republic of Moldova by Law no. 148 dated June 19, 2025.</w:t>
      </w:r>
    </w:p>
    <w:p w14:paraId="4CD18473"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Project Development Objective (PDO) is to improve the labor market orientation of selected higher education institutions and the quality assurance mechanisms.</w:t>
      </w:r>
    </w:p>
    <w:p w14:paraId="1CD303D9"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Project supports the Government of Moldova in its efforts to transform and strengthen the higher education system to: (a) meet labor market needs; (b) become a stronger member of the European and international research and innovation community; (c) support businesses with relevant technology infusion; and (d) become a more attractive destination for international students and researchers, while continuing to deepen ongoing reforms.</w:t>
      </w:r>
    </w:p>
    <w:p w14:paraId="66476E07"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Project is comprised of five components:</w:t>
      </w:r>
    </w:p>
    <w:p w14:paraId="5D54E65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Component 1 - Improving the Quality Assurance Mechanisms and Strategic Policy Initiatives;</w:t>
      </w:r>
    </w:p>
    <w:p w14:paraId="1D15BC1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Component 2 - Improving Labor Market Orientation, Research and Innovation;</w:t>
      </w:r>
    </w:p>
    <w:p w14:paraId="65DCF346"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Component 3 - Project Management and Monitoring and Evaluation;</w:t>
      </w:r>
    </w:p>
    <w:p w14:paraId="686DC47B"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Component 4 - Internationalization of Higher Education;</w:t>
      </w:r>
    </w:p>
    <w:p w14:paraId="56178CC8"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Component 5 - Contingency Emergency Response.</w:t>
      </w:r>
    </w:p>
    <w:p w14:paraId="6080B649"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Under Sub-component 1.4 - Strategic Policy Initiatives, the Project supports results-based strategic policy initiatives aimed at improving the administrative and financial efficiency of higher education institutions, strengthening institutional management capacities, and supporting evidence-based planning and decision-making. In this context, the MoER intends to contract a consulting company to support selected universities in conducting comprehensive financial diagnostics, institutional asset audits, identifying potential new revenue streams, improving financial management practices, and developing institution-specific five-year financial sustainability strategies aimed at strengthening institutional financial sustainability and strategic resource management across the higher education sector.</w:t>
      </w:r>
    </w:p>
    <w:p w14:paraId="44DE025C"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lastRenderedPageBreak/>
        <w:t>2. Objective of the assignment</w:t>
      </w:r>
    </w:p>
    <w:p w14:paraId="140D5638"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objective of the assignment is to provide technical assistance to selected higher education institutions in the Republic of Moldova to strengthen their long-term financial sustainability, institutional financial management and strategic resource allocation capacity.</w:t>
      </w:r>
    </w:p>
    <w:p w14:paraId="5EB1712B"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assignment shall include a comprehensive institutional financial diagnostic, covering revenue structure, expenditure patterns, cost centers, asset utilization, internal financial management procedures, staff capacity, level of process digitalization and quality of financial governance. Based on this diagnostic, the Consulting Company shall develop institution-specific five-year financial sustainability strategies, including measures for revenue growth and diversification, improved use of assets, cost optimization and expenditure reduction, strengthening of internal financial management systems, governance improvements and implementation roadmaps with measurable targets.</w:t>
      </w:r>
    </w:p>
    <w:p w14:paraId="584F5BC1"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assignment is expected to support universities in strengthening evidence-based financial planning and decision-making, improving resource utilization, diversifying revenue-generation mechanisms, optimizing expenditures, improving internal financial management and governance, and enhancing long-term institutional sustainability.</w:t>
      </w:r>
    </w:p>
    <w:p w14:paraId="777FF2D8"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t>3. Scope of work</w:t>
      </w:r>
    </w:p>
    <w:p w14:paraId="029452B7"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scope of work consists of providing technical assistance to selected higher education institutions in the Republic of Moldova in conducting comprehensive institutional financial diagnostics, institutional asset assessments, revenue growth and diversification analyses, cost optimization analyses, and developing institution-specific five-year financial sustainability strategies.</w:t>
      </w:r>
    </w:p>
    <w:p w14:paraId="0F35EEE8"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work in close coordination with the MoER, the Project Management Team (PMT), and beneficiary universities throughout the implementation of the assignment.</w:t>
      </w:r>
    </w:p>
    <w:p w14:paraId="231AE525"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assignment shall be implemented in the following higher education institutions:</w:t>
      </w:r>
    </w:p>
    <w:tbl>
      <w:tblPr>
        <w:tblStyle w:val="Tabelgril"/>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559"/>
        <w:gridCol w:w="8504"/>
        <w:gridCol w:w="291"/>
      </w:tblGrid>
      <w:tr w:rsidR="0006244D" w:rsidRPr="00976ED2" w14:paraId="61826581" w14:textId="77777777" w:rsidTr="00287C33">
        <w:trPr>
          <w:tblHeader/>
          <w:jc w:val="center"/>
        </w:trPr>
        <w:tc>
          <w:tcPr>
            <w:tcW w:w="559" w:type="dxa"/>
            <w:shd w:val="clear" w:color="auto" w:fill="1F4E79"/>
            <w:tcMar>
              <w:top w:w="80" w:type="dxa"/>
              <w:left w:w="80" w:type="dxa"/>
              <w:bottom w:w="80" w:type="dxa"/>
              <w:right w:w="80" w:type="dxa"/>
            </w:tcMar>
            <w:vAlign w:val="center"/>
          </w:tcPr>
          <w:p w14:paraId="59D58306"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No.</w:t>
            </w:r>
          </w:p>
        </w:tc>
        <w:tc>
          <w:tcPr>
            <w:tcW w:w="8795" w:type="dxa"/>
            <w:gridSpan w:val="2"/>
            <w:shd w:val="clear" w:color="auto" w:fill="1F4E79"/>
            <w:tcMar>
              <w:top w:w="80" w:type="dxa"/>
              <w:left w:w="80" w:type="dxa"/>
              <w:bottom w:w="80" w:type="dxa"/>
              <w:right w:w="80" w:type="dxa"/>
            </w:tcMar>
            <w:vAlign w:val="center"/>
          </w:tcPr>
          <w:p w14:paraId="6F105B10"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Institution</w:t>
            </w:r>
          </w:p>
        </w:tc>
      </w:tr>
      <w:tr w:rsidR="0006244D" w:rsidRPr="00976ED2" w14:paraId="20BBCAB5" w14:textId="77777777" w:rsidTr="00287C33">
        <w:trPr>
          <w:gridAfter w:val="1"/>
          <w:wAfter w:w="291" w:type="dxa"/>
          <w:jc w:val="center"/>
        </w:trPr>
        <w:tc>
          <w:tcPr>
            <w:tcW w:w="559" w:type="dxa"/>
            <w:tcMar>
              <w:top w:w="80" w:type="dxa"/>
              <w:left w:w="80" w:type="dxa"/>
              <w:bottom w:w="80" w:type="dxa"/>
              <w:right w:w="80" w:type="dxa"/>
            </w:tcMar>
          </w:tcPr>
          <w:p w14:paraId="627CE6E5"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1</w:t>
            </w:r>
          </w:p>
        </w:tc>
        <w:tc>
          <w:tcPr>
            <w:tcW w:w="8504" w:type="dxa"/>
            <w:tcMar>
              <w:top w:w="80" w:type="dxa"/>
              <w:left w:w="80" w:type="dxa"/>
              <w:bottom w:w="80" w:type="dxa"/>
              <w:right w:w="80" w:type="dxa"/>
            </w:tcMar>
          </w:tcPr>
          <w:p w14:paraId="6CB2C1A5"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Moldova State University, Chisinau</w:t>
            </w:r>
          </w:p>
        </w:tc>
      </w:tr>
      <w:tr w:rsidR="0006244D" w:rsidRPr="00976ED2" w14:paraId="1436BF8F" w14:textId="77777777" w:rsidTr="00287C33">
        <w:trPr>
          <w:gridAfter w:val="1"/>
          <w:wAfter w:w="291" w:type="dxa"/>
          <w:jc w:val="center"/>
        </w:trPr>
        <w:tc>
          <w:tcPr>
            <w:tcW w:w="559" w:type="dxa"/>
            <w:tcMar>
              <w:top w:w="80" w:type="dxa"/>
              <w:left w:w="80" w:type="dxa"/>
              <w:bottom w:w="80" w:type="dxa"/>
              <w:right w:w="80" w:type="dxa"/>
            </w:tcMar>
          </w:tcPr>
          <w:p w14:paraId="5F5C4DA8"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2</w:t>
            </w:r>
          </w:p>
        </w:tc>
        <w:tc>
          <w:tcPr>
            <w:tcW w:w="8504" w:type="dxa"/>
            <w:tcMar>
              <w:top w:w="80" w:type="dxa"/>
              <w:left w:w="80" w:type="dxa"/>
              <w:bottom w:w="80" w:type="dxa"/>
              <w:right w:w="80" w:type="dxa"/>
            </w:tcMar>
          </w:tcPr>
          <w:p w14:paraId="731BFFF1"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Technical University of Moldova, Chisinau</w:t>
            </w:r>
          </w:p>
        </w:tc>
      </w:tr>
      <w:tr w:rsidR="0006244D" w:rsidRPr="00976ED2" w14:paraId="266A2E05" w14:textId="77777777" w:rsidTr="00287C33">
        <w:trPr>
          <w:gridAfter w:val="1"/>
          <w:wAfter w:w="291" w:type="dxa"/>
          <w:jc w:val="center"/>
        </w:trPr>
        <w:tc>
          <w:tcPr>
            <w:tcW w:w="559" w:type="dxa"/>
            <w:tcMar>
              <w:top w:w="80" w:type="dxa"/>
              <w:left w:w="80" w:type="dxa"/>
              <w:bottom w:w="80" w:type="dxa"/>
              <w:right w:w="80" w:type="dxa"/>
            </w:tcMar>
          </w:tcPr>
          <w:p w14:paraId="135F7FEF"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3</w:t>
            </w:r>
          </w:p>
        </w:tc>
        <w:tc>
          <w:tcPr>
            <w:tcW w:w="8504" w:type="dxa"/>
            <w:tcMar>
              <w:top w:w="80" w:type="dxa"/>
              <w:left w:w="80" w:type="dxa"/>
              <w:bottom w:w="80" w:type="dxa"/>
              <w:right w:w="80" w:type="dxa"/>
            </w:tcMar>
          </w:tcPr>
          <w:p w14:paraId="51BBA307"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Academy of Economic Studies of Moldova, Chisinau</w:t>
            </w:r>
          </w:p>
        </w:tc>
      </w:tr>
      <w:tr w:rsidR="0006244D" w:rsidRPr="00976ED2" w14:paraId="2927EB88" w14:textId="77777777" w:rsidTr="00287C33">
        <w:trPr>
          <w:gridAfter w:val="1"/>
          <w:wAfter w:w="291" w:type="dxa"/>
          <w:jc w:val="center"/>
        </w:trPr>
        <w:tc>
          <w:tcPr>
            <w:tcW w:w="559" w:type="dxa"/>
            <w:tcMar>
              <w:top w:w="80" w:type="dxa"/>
              <w:left w:w="80" w:type="dxa"/>
              <w:bottom w:w="80" w:type="dxa"/>
              <w:right w:w="80" w:type="dxa"/>
            </w:tcMar>
          </w:tcPr>
          <w:p w14:paraId="52742D90"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4</w:t>
            </w:r>
          </w:p>
        </w:tc>
        <w:tc>
          <w:tcPr>
            <w:tcW w:w="8504" w:type="dxa"/>
            <w:tcMar>
              <w:top w:w="80" w:type="dxa"/>
              <w:left w:w="80" w:type="dxa"/>
              <w:bottom w:w="80" w:type="dxa"/>
              <w:right w:w="80" w:type="dxa"/>
            </w:tcMar>
          </w:tcPr>
          <w:p w14:paraId="4E04CC8C"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Nicolae Testemitanu State University of Medicine and Pharmacy, Chisinau</w:t>
            </w:r>
          </w:p>
        </w:tc>
      </w:tr>
      <w:tr w:rsidR="0006244D" w:rsidRPr="00976ED2" w14:paraId="3BF8291B" w14:textId="77777777" w:rsidTr="00287C33">
        <w:trPr>
          <w:gridAfter w:val="1"/>
          <w:wAfter w:w="291" w:type="dxa"/>
          <w:jc w:val="center"/>
        </w:trPr>
        <w:tc>
          <w:tcPr>
            <w:tcW w:w="559" w:type="dxa"/>
            <w:tcMar>
              <w:top w:w="80" w:type="dxa"/>
              <w:left w:w="80" w:type="dxa"/>
              <w:bottom w:w="80" w:type="dxa"/>
              <w:right w:w="80" w:type="dxa"/>
            </w:tcMar>
          </w:tcPr>
          <w:p w14:paraId="7B837D9F"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5</w:t>
            </w:r>
          </w:p>
        </w:tc>
        <w:tc>
          <w:tcPr>
            <w:tcW w:w="8504" w:type="dxa"/>
            <w:tcMar>
              <w:top w:w="80" w:type="dxa"/>
              <w:left w:w="80" w:type="dxa"/>
              <w:bottom w:w="80" w:type="dxa"/>
              <w:right w:w="80" w:type="dxa"/>
            </w:tcMar>
          </w:tcPr>
          <w:p w14:paraId="7E7725F5"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Ion Creanga State Pedagogical University, Chisinau</w:t>
            </w:r>
          </w:p>
        </w:tc>
      </w:tr>
      <w:tr w:rsidR="0006244D" w:rsidRPr="00976ED2" w14:paraId="16F898F6" w14:textId="77777777" w:rsidTr="00287C33">
        <w:trPr>
          <w:gridAfter w:val="1"/>
          <w:wAfter w:w="291" w:type="dxa"/>
          <w:jc w:val="center"/>
        </w:trPr>
        <w:tc>
          <w:tcPr>
            <w:tcW w:w="559" w:type="dxa"/>
            <w:tcMar>
              <w:top w:w="80" w:type="dxa"/>
              <w:left w:w="80" w:type="dxa"/>
              <w:bottom w:w="80" w:type="dxa"/>
              <w:right w:w="80" w:type="dxa"/>
            </w:tcMar>
          </w:tcPr>
          <w:p w14:paraId="3A4DC973" w14:textId="77777777" w:rsidR="0006244D" w:rsidRPr="00976ED2" w:rsidRDefault="00CA7F4D" w:rsidP="00287C33">
            <w:pPr>
              <w:spacing w:after="0" w:line="240" w:lineRule="auto"/>
              <w:jc w:val="center"/>
              <w:rPr>
                <w:rFonts w:ascii="Times New Roman" w:hAnsi="Times New Roman" w:cs="Times New Roman"/>
                <w:sz w:val="24"/>
                <w:szCs w:val="24"/>
              </w:rPr>
            </w:pPr>
            <w:r w:rsidRPr="00976ED2">
              <w:rPr>
                <w:rFonts w:ascii="Times New Roman" w:hAnsi="Times New Roman" w:cs="Times New Roman"/>
                <w:sz w:val="24"/>
                <w:szCs w:val="24"/>
              </w:rPr>
              <w:t>6</w:t>
            </w:r>
          </w:p>
        </w:tc>
        <w:tc>
          <w:tcPr>
            <w:tcW w:w="8504" w:type="dxa"/>
            <w:tcMar>
              <w:top w:w="80" w:type="dxa"/>
              <w:left w:w="80" w:type="dxa"/>
              <w:bottom w:w="80" w:type="dxa"/>
              <w:right w:w="80" w:type="dxa"/>
            </w:tcMar>
          </w:tcPr>
          <w:p w14:paraId="5536160B" w14:textId="77777777" w:rsidR="0006244D" w:rsidRPr="00976ED2" w:rsidRDefault="00CA7F4D" w:rsidP="00976ED2">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Alecu Russo State University, Balti</w:t>
            </w:r>
          </w:p>
        </w:tc>
      </w:tr>
    </w:tbl>
    <w:p w14:paraId="5A10DD99" w14:textId="77777777" w:rsidR="0006244D" w:rsidRPr="00976ED2" w:rsidRDefault="0006244D" w:rsidP="00976ED2">
      <w:pPr>
        <w:jc w:val="both"/>
        <w:rPr>
          <w:rFonts w:ascii="Times New Roman" w:hAnsi="Times New Roman" w:cs="Times New Roman"/>
          <w:sz w:val="24"/>
          <w:szCs w:val="24"/>
        </w:rPr>
      </w:pPr>
    </w:p>
    <w:p w14:paraId="54121451"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assignment shall include, but not be limited to, the following tasks.</w:t>
      </w:r>
    </w:p>
    <w:p w14:paraId="54A24A2E"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1. Review of institutional context and development of inception methodology</w:t>
      </w:r>
    </w:p>
    <w:p w14:paraId="7104AFFC"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review the existing institutional, financial, operational, strategic and regulatory documentation relevant to the assignment, including available information related to institutional finances, assets, cost structures, financial management practices, infrastructure utilization, revenue sources, strategic development documents, digital systems, internal procedures, governance arrangements and other relevant materials provided by beneficiary universities and the MoER.</w:t>
      </w:r>
    </w:p>
    <w:p w14:paraId="5BE03841"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lastRenderedPageBreak/>
        <w:t>Based on this review, the Consulting Company shall develop and submit for approval an Inception Report describing the proposed approach, methodology, tools, implementation schedule, stakeholder engagement approach, data collection plan, quality assurance approach and expected outputs for the assignment. The Inception Report shall include, at minimum:</w:t>
      </w:r>
    </w:p>
    <w:p w14:paraId="43DAEA0F"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detailed methodology and work plan;</w:t>
      </w:r>
    </w:p>
    <w:p w14:paraId="40521020"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data request templates and document review checklist;</w:t>
      </w:r>
    </w:p>
    <w:p w14:paraId="27416AD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financial diagnostic framework;</w:t>
      </w:r>
    </w:p>
    <w:p w14:paraId="13ABFA45"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cost-center analysis methodology;</w:t>
      </w:r>
    </w:p>
    <w:p w14:paraId="47ACE5D5"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asset audit and utilization assessment tools;</w:t>
      </w:r>
    </w:p>
    <w:p w14:paraId="4EFA0222"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revenue growth, diversification and feasibility assessment tools;</w:t>
      </w:r>
    </w:p>
    <w:p w14:paraId="68309F7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cost optimization and expenditure reduction analysis framework;</w:t>
      </w:r>
    </w:p>
    <w:p w14:paraId="2C61FB76"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financial management, governance, staff capacity and digitalization maturity assessment tools;</w:t>
      </w:r>
    </w:p>
    <w:p w14:paraId="45F89AEF"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proposed structure of the five-year institutional financial sustainability strategies;</w:t>
      </w:r>
    </w:p>
    <w:p w14:paraId="6D5C9E16"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stakeholder engagement and validation plan; and</w:t>
      </w:r>
    </w:p>
    <w:p w14:paraId="152994FA"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risk management and quality assurance arrangements for implementation of the assignment.</w:t>
      </w:r>
    </w:p>
    <w:p w14:paraId="7744EC58"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2. Conduct comprehensive institutional financial diagnostics</w:t>
      </w:r>
    </w:p>
    <w:p w14:paraId="2A2BEEA5"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conduct a comprehensive financial diagnostic for each beneficiary university. The diagnostic shall establish a clear institutional financial baseline and identify key financial sustainability risks, constraints and opportunities.</w:t>
      </w:r>
    </w:p>
    <w:p w14:paraId="726F0163"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diagnostic shall cover, at minimum:</w:t>
      </w:r>
    </w:p>
    <w:p w14:paraId="27951DD0"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analysis of historical revenues for the last 3-5 years, disaggregated by source, including state budget allocations, tuition fees, research grants, externally financed projects, dormitory-related revenues, rental income, continuing education, services, donations, partnerships and other own revenues;</w:t>
      </w:r>
    </w:p>
    <w:p w14:paraId="1EA58F4E"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analysis of expenditure structure and dynamics for the last 3-5 years, including staff costs, utilities, maintenance, scholarships, procurement, infrastructure-related costs, administrative costs, academic delivery costs and other major expenditure categories;</w:t>
      </w:r>
    </w:p>
    <w:p w14:paraId="5077558A"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identification and mapping of main cost centers and cost drivers, including faculties, departments, academic programs, research units, dormitories, laboratories, auxiliary services, administrative structures and infrastructure assets, to the extent permitted by available data;</w:t>
      </w:r>
    </w:p>
    <w:p w14:paraId="0D195D70"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financial performance, financial sustainability risks, liquidity constraints, budget rigidity and dependency on major revenue sources;</w:t>
      </w:r>
    </w:p>
    <w:p w14:paraId="21223E0C"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the quality, completeness, comparability and usability of available financial and management data;</w:t>
      </w:r>
    </w:p>
    <w:p w14:paraId="39B31A37"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analysis of the relationship between strategic priorities, budget allocation and actual spending patterns;</w:t>
      </w:r>
    </w:p>
    <w:p w14:paraId="2701913D"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calculation of relevant indicators, including revenue per student, cost per student, staff cost share, own revenue share, cost per square meter, utilities cost per square meter, dormitory cost recovery, asset utilization rates and other indicators agreed in the inception methodology; and</w:t>
      </w:r>
    </w:p>
    <w:p w14:paraId="022DA22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identification of key data gaps and recommendations for improving financial and managerial information systems.</w:t>
      </w:r>
    </w:p>
    <w:p w14:paraId="2BB2BFEF"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Where data are incomplete, inconsistent or unavailable, the Consulting Company shall document the limitations, propose reasonable analytical proxies, and provide recommendations for improving data collection and management reporting.</w:t>
      </w:r>
    </w:p>
    <w:p w14:paraId="037A00C8"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lastRenderedPageBreak/>
        <w:t>Task 3. Conduct institutional asset audits and utilization assessments</w:t>
      </w:r>
    </w:p>
    <w:p w14:paraId="7A7CB1AC"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conduct detailed institutional asset audits for selected universities in order to assess the current utilization, operational efficiency, condition, utilization efficiency, operating costs and revenue-generation potential of institutional assets.</w:t>
      </w:r>
    </w:p>
    <w:p w14:paraId="1CB91C75"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assessment may include, but shall not be limited to:</w:t>
      </w:r>
    </w:p>
    <w:p w14:paraId="0485697B"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academic buildings and educational facilities;</w:t>
      </w:r>
    </w:p>
    <w:p w14:paraId="0D2C5746"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student dormitories and auxiliary infrastructure;</w:t>
      </w:r>
    </w:p>
    <w:p w14:paraId="791CC5C2"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laboratories and research infrastructure;</w:t>
      </w:r>
    </w:p>
    <w:p w14:paraId="5FDB9F8E"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sports, cultural and conference facilities;</w:t>
      </w:r>
    </w:p>
    <w:p w14:paraId="07850300"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land plots and other institutional property;</w:t>
      </w:r>
    </w:p>
    <w:p w14:paraId="14D0C682"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equipment and other relevant institutional assets;</w:t>
      </w:r>
    </w:p>
    <w:p w14:paraId="285C22D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utilities, maintenance and operating cost profiles of major assets; and</w:t>
      </w:r>
    </w:p>
    <w:p w14:paraId="71B1AC7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legal, operational, technical and institutional constraints affecting the use of assets.</w:t>
      </w:r>
    </w:p>
    <w:p w14:paraId="4831E53C" w14:textId="77777777" w:rsidR="0006244D" w:rsidRDefault="00CA7F4D" w:rsidP="00E57B94">
      <w:pPr>
        <w:spacing w:after="0"/>
        <w:jc w:val="both"/>
        <w:rPr>
          <w:rFonts w:ascii="Times New Roman" w:hAnsi="Times New Roman" w:cs="Times New Roman"/>
          <w:sz w:val="24"/>
          <w:szCs w:val="24"/>
        </w:rPr>
      </w:pPr>
      <w:r w:rsidRPr="00976ED2">
        <w:rPr>
          <w:rFonts w:ascii="Times New Roman" w:hAnsi="Times New Roman" w:cs="Times New Roman"/>
          <w:sz w:val="24"/>
          <w:szCs w:val="24"/>
        </w:rPr>
        <w:t>The assessment shall identify underutilized or inefficiently utilized assets, as well as opportunities for improving their strategic, operational and financial use. For each major asset category, the Consulting Company shall assess utilization, condition, operating costs, investment needs, potential for shared use or commercialization, risks and feasibility constraints.</w:t>
      </w:r>
    </w:p>
    <w:p w14:paraId="19173FCE" w14:textId="23BAC2B4" w:rsidR="0090565E" w:rsidRPr="00976ED2" w:rsidRDefault="0090565E" w:rsidP="00976ED2">
      <w:pPr>
        <w:jc w:val="both"/>
        <w:rPr>
          <w:rFonts w:ascii="Times New Roman" w:hAnsi="Times New Roman" w:cs="Times New Roman"/>
          <w:sz w:val="24"/>
          <w:szCs w:val="24"/>
        </w:rPr>
      </w:pPr>
      <w:r w:rsidRPr="0090565E">
        <w:rPr>
          <w:rFonts w:ascii="Times New Roman" w:hAnsi="Times New Roman" w:cs="Times New Roman"/>
          <w:sz w:val="24"/>
          <w:szCs w:val="24"/>
        </w:rPr>
        <w:t>Where feasible, the Consulting Company shall also provide a cross-institutional overview of research infrastructure assets, identifying opportunities for shared access, joint utilization, improved coordination and increased value creation for research, innovation and collaboration with industry, while respecting institutional autonomy.</w:t>
      </w:r>
    </w:p>
    <w:p w14:paraId="3D341BD1"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4. Assess opportunities for revenue growth, diversification and commercial use of assets</w:t>
      </w:r>
    </w:p>
    <w:p w14:paraId="131C05C8"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identify and assess potential opportunities for generating additional institutional revenues, including opportunities for lawful, sustainable and, where applicable, commercially viable use of university assets and services.</w:t>
      </w:r>
    </w:p>
    <w:p w14:paraId="35168FDD"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analysis shall include both the improvement of existing revenue sources and the development of new revenue streams. It may include, but shall not be limited to:</w:t>
      </w:r>
    </w:p>
    <w:p w14:paraId="3D99F2B1"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continuing education, lifelong learning and professional training services;</w:t>
      </w:r>
    </w:p>
    <w:p w14:paraId="56004F3C"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research, innovation, testing, consultancy and technology-transfer services;</w:t>
      </w:r>
    </w:p>
    <w:p w14:paraId="64EC8FF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partnerships with private sector entities and public institutions;</w:t>
      </w:r>
    </w:p>
    <w:p w14:paraId="625B77B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rental, shared use or service-based use of facilities, laboratories, conference spaces, sports and cultural facilities;</w:t>
      </w:r>
    </w:p>
    <w:p w14:paraId="6A0C1C17"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innovation, incubation, entrepreneurship and start-up support activities;</w:t>
      </w:r>
    </w:p>
    <w:p w14:paraId="6D9E872D"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internationalization-related services and services for international students, staff and researchers;</w:t>
      </w:r>
    </w:p>
    <w:p w14:paraId="75B4CDF8"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dormitory-related services and improved cost recovery, where feasible and socially appropriate;</w:t>
      </w:r>
    </w:p>
    <w:p w14:paraId="344E906A"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use of digital platforms and data-driven services, where relevant and lawful; and</w:t>
      </w:r>
    </w:p>
    <w:p w14:paraId="45070CF2"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other feasible revenue-generating activities relevant to the institutional context of each university.</w:t>
      </w:r>
    </w:p>
    <w:p w14:paraId="3A8882F8"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For each proposed opportunity, the Consulting Company shall assess feasibility, estimated revenue potential, required investments, legal and regulatory constraints, institutional capacity requirements, market demand, implementation risks, social and reputational risks, and sustainability.</w:t>
      </w:r>
    </w:p>
    <w:p w14:paraId="221542E1"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5. Assess institutional financial management practices, governance, staff capacity and digitalization</w:t>
      </w:r>
    </w:p>
    <w:p w14:paraId="24B382F6"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 xml:space="preserve">The Consulting Company shall assess existing institutional financial management practices and identify opportunities for improving financial planning, budgeting, monitoring, reporting, internal </w:t>
      </w:r>
      <w:r w:rsidRPr="00976ED2">
        <w:rPr>
          <w:rFonts w:ascii="Times New Roman" w:hAnsi="Times New Roman" w:cs="Times New Roman"/>
          <w:sz w:val="24"/>
          <w:szCs w:val="24"/>
        </w:rPr>
        <w:lastRenderedPageBreak/>
        <w:t>resource allocation, control mechanisms and strategic financial decision-making processes within beneficiary universities.</w:t>
      </w:r>
    </w:p>
    <w:p w14:paraId="15B3ED50"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assessment shall include, at minimum:</w:t>
      </w:r>
    </w:p>
    <w:p w14:paraId="32A3D6A7"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of internal financial planning, budgeting, budget revision and medium-term planning procedures;</w:t>
      </w:r>
    </w:p>
    <w:p w14:paraId="526E8E2C"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of internal rules for revenue generation, tariff setting, use of own revenues and allocation of resources;</w:t>
      </w:r>
    </w:p>
    <w:p w14:paraId="76510F17"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of expenditure approval, procurement planning, contract management and payment workflows;</w:t>
      </w:r>
    </w:p>
    <w:p w14:paraId="1EBCCEC8"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of internal control mechanisms, segregation of duties, risk management, internal audit arrangements and compliance practices;</w:t>
      </w:r>
    </w:p>
    <w:p w14:paraId="4C55980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management reporting practices and the use of financial data in strategic decision-making;</w:t>
      </w:r>
    </w:p>
    <w:p w14:paraId="0AB57E4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the roles and responsibilities of governing bodies and management structures in financial decision-making;</w:t>
      </w:r>
    </w:p>
    <w:p w14:paraId="6FB99BA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staffing, skills, workload and training needs of financial, accounting, administrative and asset management personnel;</w:t>
      </w:r>
    </w:p>
    <w:p w14:paraId="3E94D17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assessment of the level of digitalization of financial and resource management processes, including accounting, budgeting, procurement, asset management, payroll, contract management, reporting and management dashboards;</w:t>
      </w:r>
    </w:p>
    <w:p w14:paraId="6E34E23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identification of bottlenecks, duplication, manual processes, data quality issues, weak controls and opportunities for simplification, automation and digital integration; and</w:t>
      </w:r>
    </w:p>
    <w:p w14:paraId="7DD6B72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practical recommendations aimed at improving efficiency, transparency, accountability, sustainability and evidence-based financial management practices.</w:t>
      </w:r>
    </w:p>
    <w:p w14:paraId="313D8AD2"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assessment of financial governance shall examine how financial decisions are prepared, approved, implemented, monitored and reported, and whether existing governance arrangements support transparency, accountability, efficiency and strategic resource allocation.</w:t>
      </w:r>
    </w:p>
    <w:p w14:paraId="2103558F"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6. Identify cost optimization and expenditure reduction measures</w:t>
      </w:r>
    </w:p>
    <w:p w14:paraId="17F61C6E"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identify opportunities for cost optimization and, where feasible, expenditure reduction, without undermining the quality of education, research and student services.</w:t>
      </w:r>
    </w:p>
    <w:p w14:paraId="57AD5464"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analysis shall cover, at minimum:</w:t>
      </w:r>
    </w:p>
    <w:p w14:paraId="2F8B758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utilities, energy efficiency, maintenance and facilities management costs;</w:t>
      </w:r>
    </w:p>
    <w:p w14:paraId="14282618"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administrative and support service costs;</w:t>
      </w:r>
    </w:p>
    <w:p w14:paraId="634A11BA"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underutilized spaces, equipment and infrastructure;</w:t>
      </w:r>
    </w:p>
    <w:p w14:paraId="2B96F07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duplication of functions, services or processes;</w:t>
      </w:r>
    </w:p>
    <w:p w14:paraId="58934A7C"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procurement and contract management practices;</w:t>
      </w:r>
    </w:p>
    <w:p w14:paraId="259D67AB"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dormitory operating costs and cost recovery;</w:t>
      </w:r>
    </w:p>
    <w:p w14:paraId="229EBED3"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opportunities for shared services, outsourcing, consolidation, automation, improved asset utilization or improved procurement practices;</w:t>
      </w:r>
    </w:p>
    <w:p w14:paraId="3F0B64DE"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potential cost savings, required investments and implementation risks; and</w:t>
      </w:r>
    </w:p>
    <w:p w14:paraId="332965AD"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institutional decisions, governance arrangements and capacity requirements necessary to implement cost optimization measures.</w:t>
      </w:r>
    </w:p>
    <w:p w14:paraId="562E6D32"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Cost optimization measures shall be prioritized based on feasibility, estimated financial impact, implementation complexity, risks and alignment with the academic and social mission of each institution.</w:t>
      </w:r>
    </w:p>
    <w:p w14:paraId="4E1FFEB7"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lastRenderedPageBreak/>
        <w:t>Task 7. Develop institution-specific five-year financial sustainability strategies</w:t>
      </w:r>
    </w:p>
    <w:p w14:paraId="3C7B8D5E"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Based on the findings of the financial diagnostics, asset audits, revenue diversification analysis, cost optimization analysis and consultations, the Consulting Company shall develop institution-specific five-year financial sustainability strategies for each beneficiary university.</w:t>
      </w:r>
    </w:p>
    <w:p w14:paraId="6AEB35A6"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Each strategy shall include, at minimum:</w:t>
      </w:r>
    </w:p>
    <w:p w14:paraId="5C760DB9"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baseline financial diagnosis;</w:t>
      </w:r>
    </w:p>
    <w:p w14:paraId="37F96C1E"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analysis of current revenue sources and expenditure structure;</w:t>
      </w:r>
    </w:p>
    <w:p w14:paraId="76B582AD"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mapping of cost centers and cost drivers;</w:t>
      </w:r>
    </w:p>
    <w:p w14:paraId="2C632780"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asset utilization and revenue potential analysis;</w:t>
      </w:r>
    </w:p>
    <w:p w14:paraId="72EF2EB1"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priority measures for revenue growth and diversification;</w:t>
      </w:r>
    </w:p>
    <w:p w14:paraId="5CDF2A4B"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priority measures for cost optimization and expenditure reduction;</w:t>
      </w:r>
    </w:p>
    <w:p w14:paraId="786671F5"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measures for strengthening internal financial management procedures and controls;</w:t>
      </w:r>
    </w:p>
    <w:p w14:paraId="0D2EC7BB"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measures for improving financial governance and accountability in decision-making;</w:t>
      </w:r>
    </w:p>
    <w:p w14:paraId="56B110FF"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measures for digitalization and improved use of financial and managerial data;</w:t>
      </w:r>
    </w:p>
    <w:p w14:paraId="61E5EC16"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institutional capacity-building needs;</w:t>
      </w:r>
    </w:p>
    <w:p w14:paraId="4C9F05F2"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financial scenarios for five years, including assumptions and sensitivity analysis, where feasible;</w:t>
      </w:r>
    </w:p>
    <w:p w14:paraId="0BB3FBB8"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estimated costs, expected benefits and financial impact of proposed measures;</w:t>
      </w:r>
    </w:p>
    <w:p w14:paraId="12CC7D6A"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implementation roadmap with responsibilities, sequencing and timeline;</w:t>
      </w:r>
    </w:p>
    <w:p w14:paraId="49F40E7E"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risk matrix and mitigation measures; and</w:t>
      </w:r>
    </w:p>
    <w:p w14:paraId="32DCE073" w14:textId="77777777" w:rsidR="0006244D" w:rsidRPr="00976ED2" w:rsidRDefault="00CA7F4D" w:rsidP="00976ED2">
      <w:pPr>
        <w:pStyle w:val="Listnumerotat"/>
        <w:spacing w:after="60"/>
        <w:jc w:val="both"/>
        <w:rPr>
          <w:rFonts w:ascii="Times New Roman" w:hAnsi="Times New Roman" w:cs="Times New Roman"/>
          <w:sz w:val="24"/>
          <w:szCs w:val="24"/>
        </w:rPr>
      </w:pPr>
      <w:r w:rsidRPr="00976ED2">
        <w:rPr>
          <w:rFonts w:ascii="Times New Roman" w:hAnsi="Times New Roman" w:cs="Times New Roman"/>
          <w:sz w:val="24"/>
          <w:szCs w:val="24"/>
        </w:rPr>
        <w:t>monitoring indicators, baseline values and annual targets.</w:t>
      </w:r>
    </w:p>
    <w:p w14:paraId="5E9B6C19"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strategies shall be realistic, institution-specific and implementable. They shall distinguish between measures that can be implemented by the university itself and measures that require MoER, Government or regulatory decisions.</w:t>
      </w:r>
    </w:p>
    <w:p w14:paraId="0B8EF080"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Task 8. Deliver consultations, validation and capacity-building support</w:t>
      </w:r>
    </w:p>
    <w:p w14:paraId="05AD03D1"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provide consultations, presentations, validation workshops and capacity-building activities for representatives of beneficiary universities and relevant stakeholders in order to support understanding, ownership and implementation of the proposed recommendations and financial sustainability strategies.</w:t>
      </w:r>
    </w:p>
    <w:p w14:paraId="59782DEF"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Capacity-building activities shall cover, as relevant, financial diagnostics, cost-center analysis, revenue diversification, asset management, cost optimization, internal financial management procedures, financial governance, digitalization and implementation monitoring.</w:t>
      </w:r>
    </w:p>
    <w:p w14:paraId="72870ED3"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All activities under the assignment shall be implemented in close coordination with the MoER and the PMT.</w:t>
      </w:r>
    </w:p>
    <w:p w14:paraId="4250AF29"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t>4. Methodological and quality requirements</w:t>
      </w:r>
    </w:p>
    <w:p w14:paraId="2C5C9123"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ensure that all analyses and recommendations are evidence-based, institution-specific, financially realistic and consistent with applicable national legislation, institutional mandates and World Bank requirements.</w:t>
      </w:r>
    </w:p>
    <w:p w14:paraId="7638AC00" w14:textId="77777777" w:rsidR="0006244D" w:rsidRPr="00976ED2" w:rsidRDefault="00CA7F4D" w:rsidP="00976ED2">
      <w:pPr>
        <w:jc w:val="both"/>
        <w:rPr>
          <w:rFonts w:ascii="Times New Roman" w:hAnsi="Times New Roman" w:cs="Times New Roman"/>
          <w:sz w:val="24"/>
          <w:szCs w:val="24"/>
        </w:rPr>
      </w:pPr>
      <w:r w:rsidRPr="00976ED2">
        <w:rPr>
          <w:rFonts w:ascii="Times New Roman" w:hAnsi="Times New Roman" w:cs="Times New Roman"/>
          <w:sz w:val="24"/>
          <w:szCs w:val="24"/>
        </w:rPr>
        <w:t>The methodology shall observe the following requirements:</w:t>
      </w:r>
    </w:p>
    <w:p w14:paraId="772B765B"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use of both quantitative and qualitative evidence, including financial data, documents, interviews, site visits, focus groups and validation workshops;</w:t>
      </w:r>
    </w:p>
    <w:p w14:paraId="596872B9"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triangulation of findings from multiple sources;</w:t>
      </w:r>
    </w:p>
    <w:p w14:paraId="1706122E"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transparent documentation of data sources, assumptions, limitations and calculation methods;</w:t>
      </w:r>
    </w:p>
    <w:p w14:paraId="5EF4228F"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clear distinction between facts, estimates, scenarios and recommendations;</w:t>
      </w:r>
    </w:p>
    <w:p w14:paraId="56DEBC76"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validation of key findings with beneficiary universities and MoER/PMT before finalization;</w:t>
      </w:r>
    </w:p>
    <w:p w14:paraId="39F0E604"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lastRenderedPageBreak/>
        <w:t>prioritization of recommendations based on feasibility, impact, risks and implementation capacity;</w:t>
      </w:r>
    </w:p>
    <w:p w14:paraId="69B4F78D"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alignment of strategies with institutional development priorities and the higher education reform agenda; and</w:t>
      </w:r>
    </w:p>
    <w:p w14:paraId="5E89BCBB" w14:textId="77777777" w:rsidR="0006244D" w:rsidRPr="00976ED2" w:rsidRDefault="00CA7F4D" w:rsidP="00976ED2">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protection of confidential institutional information and secure handling of all data.</w:t>
      </w:r>
    </w:p>
    <w:p w14:paraId="651A29F9"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t>5. Qualification requirements and basis for evaluation</w:t>
      </w:r>
    </w:p>
    <w:p w14:paraId="37C91FB5" w14:textId="77777777" w:rsidR="0006244D" w:rsidRPr="00976ED2" w:rsidRDefault="00CA7F4D">
      <w:pPr>
        <w:pStyle w:val="Titlu2"/>
        <w:spacing w:after="120"/>
        <w:rPr>
          <w:rFonts w:ascii="Times New Roman" w:hAnsi="Times New Roman" w:cs="Times New Roman"/>
          <w:szCs w:val="24"/>
        </w:rPr>
      </w:pPr>
      <w:r w:rsidRPr="00976ED2">
        <w:rPr>
          <w:rFonts w:ascii="Times New Roman" w:eastAsia="Arial" w:hAnsi="Times New Roman" w:cs="Times New Roman"/>
          <w:szCs w:val="24"/>
        </w:rPr>
        <w:t>5.1 Qualification requirements</w:t>
      </w:r>
    </w:p>
    <w:p w14:paraId="39D22BF6" w14:textId="77777777" w:rsidR="0006244D" w:rsidRPr="00976ED2" w:rsidRDefault="00CA7F4D" w:rsidP="00DC45EF">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meet the following minimum qualification requirements.</w:t>
      </w:r>
    </w:p>
    <w:p w14:paraId="4EED419A" w14:textId="4B8B273B" w:rsidR="0006244D" w:rsidRDefault="002215A6" w:rsidP="00714B82">
      <w:pPr>
        <w:pStyle w:val="Titlu3"/>
        <w:numPr>
          <w:ilvl w:val="0"/>
          <w:numId w:val="10"/>
        </w:numPr>
        <w:spacing w:after="120"/>
        <w:ind w:left="709" w:hanging="425"/>
        <w:jc w:val="both"/>
        <w:rPr>
          <w:rFonts w:ascii="Times New Roman" w:eastAsia="Arial" w:hAnsi="Times New Roman" w:cs="Times New Roman"/>
          <w:sz w:val="24"/>
          <w:szCs w:val="24"/>
        </w:rPr>
      </w:pPr>
      <w:r>
        <w:rPr>
          <w:rFonts w:ascii="Times New Roman" w:eastAsia="Arial" w:hAnsi="Times New Roman" w:cs="Times New Roman"/>
          <w:sz w:val="24"/>
          <w:szCs w:val="24"/>
        </w:rPr>
        <w:t>Genera</w:t>
      </w:r>
      <w:r w:rsidR="00BC3F7A">
        <w:rPr>
          <w:rFonts w:ascii="Times New Roman" w:eastAsia="Arial" w:hAnsi="Times New Roman" w:cs="Times New Roman"/>
          <w:sz w:val="24"/>
          <w:szCs w:val="24"/>
        </w:rPr>
        <w:t>l Experience</w:t>
      </w:r>
      <w:r w:rsidR="00A34487">
        <w:rPr>
          <w:rFonts w:ascii="Times New Roman" w:eastAsia="Arial" w:hAnsi="Times New Roman" w:cs="Times New Roman"/>
          <w:sz w:val="24"/>
          <w:szCs w:val="24"/>
        </w:rPr>
        <w:t xml:space="preserve"> (</w:t>
      </w:r>
      <w:r w:rsidR="00DC45EF">
        <w:rPr>
          <w:rFonts w:ascii="Times New Roman" w:eastAsia="Arial" w:hAnsi="Times New Roman" w:cs="Times New Roman"/>
          <w:sz w:val="24"/>
          <w:szCs w:val="24"/>
        </w:rPr>
        <w:t>40 points)</w:t>
      </w:r>
    </w:p>
    <w:p w14:paraId="0B331292" w14:textId="77777777" w:rsidR="005028F0" w:rsidRDefault="005028F0" w:rsidP="00714B82">
      <w:pPr>
        <w:pStyle w:val="Listcumarcatori"/>
        <w:numPr>
          <w:ilvl w:val="0"/>
          <w:numId w:val="12"/>
        </w:numPr>
        <w:spacing w:after="60"/>
        <w:ind w:left="709" w:hanging="349"/>
        <w:jc w:val="both"/>
        <w:rPr>
          <w:rFonts w:ascii="Times New Roman" w:hAnsi="Times New Roman" w:cs="Times New Roman"/>
          <w:sz w:val="24"/>
          <w:szCs w:val="24"/>
        </w:rPr>
      </w:pPr>
      <w:r w:rsidRPr="005D2B8A">
        <w:rPr>
          <w:rFonts w:ascii="Times New Roman" w:hAnsi="Times New Roman" w:cs="Times New Roman"/>
          <w:sz w:val="24"/>
          <w:szCs w:val="24"/>
        </w:rPr>
        <w:t>At least 5 years of demonstrated experience in providing consulting services in areas such as financial management, institutional development, business planning, strategic planning, asset management, public sector reform, higher education management, organizational financial sustainability, cost optimization or institutional diagnostics.</w:t>
      </w:r>
    </w:p>
    <w:p w14:paraId="456DCF7F" w14:textId="33F0A67A" w:rsidR="00BE1768" w:rsidRPr="005D2B8A" w:rsidRDefault="00BE1768" w:rsidP="00714B82">
      <w:pPr>
        <w:pStyle w:val="Listcumarcatori"/>
        <w:numPr>
          <w:ilvl w:val="0"/>
          <w:numId w:val="12"/>
        </w:numPr>
        <w:spacing w:after="60"/>
        <w:ind w:left="709" w:hanging="349"/>
        <w:jc w:val="both"/>
        <w:rPr>
          <w:rFonts w:ascii="Times New Roman" w:hAnsi="Times New Roman" w:cs="Times New Roman"/>
          <w:sz w:val="24"/>
          <w:szCs w:val="24"/>
        </w:rPr>
      </w:pPr>
      <w:r w:rsidRPr="00CB5656">
        <w:rPr>
          <w:rFonts w:ascii="Times New Roman" w:hAnsi="Times New Roman" w:cs="Times New Roman"/>
          <w:sz w:val="24"/>
          <w:szCs w:val="24"/>
        </w:rPr>
        <w:t xml:space="preserve">The average annual turnover of the </w:t>
      </w:r>
      <w:r w:rsidRPr="00CB5656">
        <w:rPr>
          <w:rFonts w:ascii="Times New Roman" w:hAnsi="Times New Roman" w:cs="Times New Roman"/>
          <w:sz w:val="24"/>
          <w:szCs w:val="24"/>
        </w:rPr>
        <w:t xml:space="preserve">consultant </w:t>
      </w:r>
      <w:r w:rsidR="0052197F" w:rsidRPr="00CB5656">
        <w:rPr>
          <w:rFonts w:ascii="Times New Roman" w:hAnsi="Times New Roman" w:cs="Times New Roman"/>
          <w:sz w:val="24"/>
          <w:szCs w:val="24"/>
        </w:rPr>
        <w:t>in the last three (3) years</w:t>
      </w:r>
      <w:r w:rsidR="0052197F" w:rsidRPr="00CB5656">
        <w:rPr>
          <w:rFonts w:ascii="Times New Roman" w:hAnsi="Times New Roman" w:cs="Times New Roman"/>
          <w:sz w:val="24"/>
          <w:szCs w:val="24"/>
        </w:rPr>
        <w:t xml:space="preserve"> </w:t>
      </w:r>
      <w:r w:rsidRPr="00CB5656">
        <w:rPr>
          <w:rFonts w:ascii="Times New Roman" w:hAnsi="Times New Roman" w:cs="Times New Roman"/>
          <w:sz w:val="24"/>
          <w:szCs w:val="24"/>
        </w:rPr>
        <w:t xml:space="preserve">shall be </w:t>
      </w:r>
      <w:r w:rsidR="00665464" w:rsidRPr="00CB5656">
        <w:rPr>
          <w:rFonts w:ascii="Times New Roman" w:hAnsi="Times New Roman" w:cs="Times New Roman"/>
          <w:sz w:val="24"/>
          <w:szCs w:val="24"/>
        </w:rPr>
        <w:t>at least 8</w:t>
      </w:r>
      <w:r w:rsidR="00CB5656" w:rsidRPr="00CB5656">
        <w:rPr>
          <w:rFonts w:ascii="Times New Roman" w:hAnsi="Times New Roman" w:cs="Times New Roman"/>
          <w:sz w:val="24"/>
          <w:szCs w:val="24"/>
        </w:rPr>
        <w:t>.000.000,00 MDL</w:t>
      </w:r>
      <w:r w:rsidRPr="00CB5656">
        <w:rPr>
          <w:rFonts w:ascii="Times New Roman" w:hAnsi="Times New Roman" w:cs="Times New Roman"/>
          <w:sz w:val="24"/>
          <w:szCs w:val="24"/>
        </w:rPr>
        <w:t>.</w:t>
      </w:r>
    </w:p>
    <w:p w14:paraId="705F1845" w14:textId="4B7BFD55" w:rsidR="005028F0" w:rsidRPr="005D2B8A" w:rsidRDefault="005028F0" w:rsidP="00714B82">
      <w:pPr>
        <w:pStyle w:val="Listcumarcatori"/>
        <w:numPr>
          <w:ilvl w:val="0"/>
          <w:numId w:val="12"/>
        </w:numPr>
        <w:spacing w:after="60"/>
        <w:ind w:left="709" w:hanging="349"/>
        <w:jc w:val="both"/>
        <w:rPr>
          <w:rFonts w:ascii="Times New Roman" w:hAnsi="Times New Roman" w:cs="Times New Roman"/>
          <w:sz w:val="24"/>
          <w:szCs w:val="24"/>
        </w:rPr>
      </w:pPr>
      <w:r w:rsidRPr="005D2B8A">
        <w:rPr>
          <w:rFonts w:ascii="Times New Roman" w:hAnsi="Times New Roman" w:cs="Times New Roman"/>
          <w:sz w:val="24"/>
          <w:szCs w:val="24"/>
        </w:rPr>
        <w:t>Demonstrated experience in conducting institutional assessments, financial diagnostics, analytical studies, financial analyses, asset utilization studies, revenue diversification analyses, cost optimization analyses or strategic planning assignments for public institutions, universities, international organizations, development partners or similar entities</w:t>
      </w:r>
      <w:r w:rsidR="005C30C5">
        <w:rPr>
          <w:rFonts w:ascii="Times New Roman" w:hAnsi="Times New Roman" w:cs="Times New Roman"/>
          <w:sz w:val="24"/>
          <w:szCs w:val="24"/>
        </w:rPr>
        <w:t xml:space="preserve">, </w:t>
      </w:r>
      <w:r w:rsidR="005C30C5" w:rsidRPr="005D2B8A">
        <w:rPr>
          <w:rFonts w:ascii="Times New Roman" w:hAnsi="Times New Roman" w:cs="Times New Roman"/>
          <w:sz w:val="24"/>
          <w:szCs w:val="24"/>
        </w:rPr>
        <w:t>or international development projects</w:t>
      </w:r>
      <w:r w:rsidR="005C30C5">
        <w:rPr>
          <w:rFonts w:ascii="Times New Roman" w:hAnsi="Times New Roman" w:cs="Times New Roman"/>
          <w:sz w:val="24"/>
          <w:szCs w:val="24"/>
        </w:rPr>
        <w:t>.</w:t>
      </w:r>
    </w:p>
    <w:p w14:paraId="7ACC621D" w14:textId="4FAE0EBE" w:rsidR="00FA23CC" w:rsidRPr="005D2B8A" w:rsidRDefault="00FA23CC" w:rsidP="00714B82">
      <w:pPr>
        <w:pStyle w:val="Listcumarcatori"/>
        <w:numPr>
          <w:ilvl w:val="0"/>
          <w:numId w:val="12"/>
        </w:numPr>
        <w:spacing w:after="60"/>
        <w:ind w:left="709" w:hanging="349"/>
        <w:jc w:val="both"/>
        <w:rPr>
          <w:rFonts w:ascii="Times New Roman" w:hAnsi="Times New Roman" w:cs="Times New Roman"/>
          <w:sz w:val="24"/>
          <w:szCs w:val="24"/>
        </w:rPr>
      </w:pPr>
      <w:r w:rsidRPr="005D2B8A">
        <w:rPr>
          <w:rFonts w:ascii="Times New Roman" w:hAnsi="Times New Roman" w:cs="Times New Roman"/>
          <w:sz w:val="24"/>
          <w:szCs w:val="24"/>
        </w:rPr>
        <w:t>Demonstrated organizational capacity to successfully implement multidisciplinary consulting assignments of comparable size and complexity, including appropriate quality assurance and project management arrangements</w:t>
      </w:r>
      <w:r w:rsidR="005D2B8A" w:rsidRPr="005D2B8A">
        <w:rPr>
          <w:rFonts w:ascii="Times New Roman" w:hAnsi="Times New Roman" w:cs="Times New Roman"/>
          <w:sz w:val="24"/>
          <w:szCs w:val="24"/>
        </w:rPr>
        <w:t>.</w:t>
      </w:r>
    </w:p>
    <w:p w14:paraId="028661EF" w14:textId="3DEDB136" w:rsidR="005028F0" w:rsidRPr="00DC45EF" w:rsidRDefault="005028F0" w:rsidP="00714B82">
      <w:pPr>
        <w:pStyle w:val="Titlu3"/>
        <w:numPr>
          <w:ilvl w:val="0"/>
          <w:numId w:val="10"/>
        </w:numPr>
        <w:spacing w:after="120"/>
        <w:ind w:left="709" w:hanging="349"/>
        <w:jc w:val="both"/>
        <w:rPr>
          <w:rFonts w:ascii="Times New Roman" w:eastAsia="Arial" w:hAnsi="Times New Roman" w:cs="Times New Roman"/>
          <w:sz w:val="24"/>
          <w:szCs w:val="24"/>
        </w:rPr>
      </w:pPr>
      <w:r w:rsidRPr="005028F0">
        <w:rPr>
          <w:rFonts w:ascii="Times New Roman" w:eastAsia="Arial" w:hAnsi="Times New Roman" w:cs="Times New Roman"/>
          <w:sz w:val="24"/>
          <w:szCs w:val="24"/>
        </w:rPr>
        <w:t>Specific experience (60 points)</w:t>
      </w:r>
    </w:p>
    <w:p w14:paraId="4F0DC3B8" w14:textId="637867A9" w:rsidR="00556E7A" w:rsidRPr="001C1850" w:rsidRDefault="00240911" w:rsidP="00714B82">
      <w:pPr>
        <w:pStyle w:val="Listcumarcatori"/>
        <w:numPr>
          <w:ilvl w:val="0"/>
          <w:numId w:val="12"/>
        </w:numPr>
        <w:spacing w:after="60"/>
        <w:ind w:left="709" w:hanging="349"/>
        <w:jc w:val="both"/>
        <w:rPr>
          <w:rFonts w:ascii="Times New Roman" w:hAnsi="Times New Roman" w:cs="Times New Roman"/>
          <w:sz w:val="24"/>
          <w:szCs w:val="24"/>
        </w:rPr>
      </w:pPr>
      <w:r w:rsidRPr="001C1850">
        <w:rPr>
          <w:rFonts w:ascii="Times New Roman" w:hAnsi="Times New Roman" w:cs="Times New Roman"/>
          <w:sz w:val="24"/>
          <w:szCs w:val="24"/>
        </w:rPr>
        <w:t>Successful completion of at least two (</w:t>
      </w:r>
      <w:r w:rsidR="001C1850" w:rsidRPr="001C1850">
        <w:rPr>
          <w:rFonts w:ascii="Times New Roman" w:hAnsi="Times New Roman" w:cs="Times New Roman"/>
          <w:sz w:val="24"/>
          <w:szCs w:val="24"/>
        </w:rPr>
        <w:t>2</w:t>
      </w:r>
      <w:r w:rsidRPr="001C1850">
        <w:rPr>
          <w:rFonts w:ascii="Times New Roman" w:hAnsi="Times New Roman" w:cs="Times New Roman"/>
          <w:sz w:val="24"/>
          <w:szCs w:val="24"/>
        </w:rPr>
        <w:t>) similar consulting assignments during the last ten (10) years involving financial sustainability assessments, institutional diagnostics, business planning, asset management, financial management improvement, or public sector institutional reform. Previous experience in the higher education sector, including financial governance, public finance, institutional asset management, or digitalization of financial management processes, will be considered a strong advantage</w:t>
      </w:r>
      <w:r w:rsidR="00556E7A" w:rsidRPr="001C1850">
        <w:rPr>
          <w:rFonts w:ascii="Times New Roman" w:hAnsi="Times New Roman" w:cs="Times New Roman"/>
          <w:sz w:val="24"/>
          <w:szCs w:val="24"/>
        </w:rPr>
        <w:t>.</w:t>
      </w:r>
    </w:p>
    <w:p w14:paraId="2879B717" w14:textId="7C06A27F" w:rsidR="00F921CF" w:rsidRPr="00F921CF" w:rsidRDefault="00F921CF" w:rsidP="00714B82">
      <w:pPr>
        <w:pStyle w:val="Listcumarcatori"/>
        <w:numPr>
          <w:ilvl w:val="0"/>
          <w:numId w:val="12"/>
        </w:numPr>
        <w:spacing w:after="60"/>
        <w:ind w:left="709" w:hanging="349"/>
        <w:jc w:val="both"/>
        <w:rPr>
          <w:rFonts w:ascii="Times New Roman" w:hAnsi="Times New Roman" w:cs="Times New Roman"/>
          <w:sz w:val="24"/>
          <w:szCs w:val="24"/>
        </w:rPr>
      </w:pPr>
      <w:r w:rsidRPr="00F921CF">
        <w:rPr>
          <w:rFonts w:ascii="Times New Roman" w:hAnsi="Times New Roman" w:cs="Times New Roman"/>
          <w:sz w:val="24"/>
          <w:szCs w:val="24"/>
        </w:rPr>
        <w:t>Experience in developing business plans, financial sustainability strategies, revenue diversification plans, or institutional financial models for public sector organizations.</w:t>
      </w:r>
    </w:p>
    <w:p w14:paraId="4688EC31" w14:textId="1D2DBA07" w:rsidR="000F502E" w:rsidRPr="00F921CF" w:rsidRDefault="000F502E" w:rsidP="00714B82">
      <w:pPr>
        <w:pStyle w:val="Listcumarcatori"/>
        <w:numPr>
          <w:ilvl w:val="0"/>
          <w:numId w:val="12"/>
        </w:numPr>
        <w:spacing w:after="60"/>
        <w:ind w:left="709" w:hanging="349"/>
        <w:jc w:val="both"/>
        <w:rPr>
          <w:rFonts w:ascii="Times New Roman" w:hAnsi="Times New Roman" w:cs="Times New Roman"/>
          <w:sz w:val="24"/>
          <w:szCs w:val="24"/>
        </w:rPr>
      </w:pPr>
      <w:r w:rsidRPr="00F921CF">
        <w:rPr>
          <w:rFonts w:ascii="Times New Roman" w:hAnsi="Times New Roman" w:cs="Times New Roman"/>
          <w:sz w:val="24"/>
          <w:szCs w:val="24"/>
        </w:rPr>
        <w:t>Experience in assignments financed by international development partners (such as the World Bank, European Union, EBRD, EIB, UN agencies, or similar organizations) shall constitute a</w:t>
      </w:r>
      <w:r w:rsidR="00F921CF" w:rsidRPr="00F921CF">
        <w:rPr>
          <w:rFonts w:ascii="Times New Roman" w:hAnsi="Times New Roman" w:cs="Times New Roman"/>
          <w:sz w:val="24"/>
          <w:szCs w:val="24"/>
        </w:rPr>
        <w:t xml:space="preserve">n </w:t>
      </w:r>
      <w:r w:rsidRPr="00F921CF">
        <w:rPr>
          <w:rFonts w:ascii="Times New Roman" w:hAnsi="Times New Roman" w:cs="Times New Roman"/>
          <w:sz w:val="24"/>
          <w:szCs w:val="24"/>
        </w:rPr>
        <w:t>advantage.</w:t>
      </w:r>
    </w:p>
    <w:p w14:paraId="6812AD11" w14:textId="2D724299" w:rsidR="008D067D" w:rsidRDefault="008D067D" w:rsidP="00714B82">
      <w:pPr>
        <w:pStyle w:val="Listcumarcatori"/>
        <w:numPr>
          <w:ilvl w:val="0"/>
          <w:numId w:val="12"/>
        </w:numPr>
        <w:spacing w:after="60"/>
        <w:ind w:left="709" w:hanging="349"/>
        <w:jc w:val="both"/>
        <w:rPr>
          <w:rFonts w:ascii="Times New Roman" w:hAnsi="Times New Roman" w:cs="Times New Roman"/>
          <w:sz w:val="24"/>
          <w:szCs w:val="24"/>
        </w:rPr>
      </w:pPr>
      <w:r w:rsidRPr="007643A1">
        <w:rPr>
          <w:rFonts w:ascii="Times New Roman" w:hAnsi="Times New Roman" w:cs="Times New Roman"/>
          <w:sz w:val="24"/>
          <w:szCs w:val="24"/>
        </w:rPr>
        <w:t xml:space="preserve">The Consultant shall demonstrate the availability of </w:t>
      </w:r>
      <w:r w:rsidR="00D16B7C" w:rsidRPr="00D16B7C">
        <w:rPr>
          <w:rFonts w:ascii="Times New Roman" w:hAnsi="Times New Roman" w:cs="Times New Roman"/>
          <w:sz w:val="24"/>
          <w:szCs w:val="24"/>
        </w:rPr>
        <w:t xml:space="preserve">a multidisciplinary team with complementary expertise covering all areas required under the assignment. Team members may include permanent employees of the firm as well as external specialists formally engaged for the assignment. </w:t>
      </w:r>
    </w:p>
    <w:p w14:paraId="5E1F8473" w14:textId="6D4A3931" w:rsidR="0006244D" w:rsidRDefault="009D124D">
      <w:pPr>
        <w:pStyle w:val="Titlu3"/>
        <w:spacing w:after="120"/>
        <w:rPr>
          <w:rFonts w:ascii="Times New Roman" w:eastAsia="Arial" w:hAnsi="Times New Roman" w:cs="Times New Roman"/>
          <w:sz w:val="24"/>
          <w:szCs w:val="24"/>
        </w:rPr>
      </w:pPr>
      <w:r>
        <w:rPr>
          <w:rFonts w:ascii="Times New Roman" w:eastAsia="Arial" w:hAnsi="Times New Roman" w:cs="Times New Roman"/>
          <w:sz w:val="24"/>
          <w:szCs w:val="24"/>
        </w:rPr>
        <w:t xml:space="preserve">5.2 </w:t>
      </w:r>
      <w:r w:rsidR="00CA7F4D" w:rsidRPr="00976ED2">
        <w:rPr>
          <w:rFonts w:ascii="Times New Roman" w:eastAsia="Arial" w:hAnsi="Times New Roman" w:cs="Times New Roman"/>
          <w:sz w:val="24"/>
          <w:szCs w:val="24"/>
        </w:rPr>
        <w:t>Staffing requirements</w:t>
      </w:r>
    </w:p>
    <w:p w14:paraId="04A1FC08" w14:textId="77777777" w:rsidR="009D124D" w:rsidRDefault="009D124D" w:rsidP="009D124D">
      <w:pPr>
        <w:suppressAutoHyphens/>
        <w:spacing w:after="0" w:line="240" w:lineRule="auto"/>
        <w:jc w:val="both"/>
        <w:rPr>
          <w:rFonts w:ascii="Times New Roman" w:hAnsi="Times New Roman" w:cs="Times New Roman"/>
          <w:b/>
          <w:bCs/>
          <w:sz w:val="24"/>
          <w:szCs w:val="24"/>
          <w:u w:val="single"/>
          <w:lang w:val="en-GB"/>
        </w:rPr>
      </w:pPr>
      <w:r w:rsidRPr="00FB3C65">
        <w:rPr>
          <w:rFonts w:ascii="Times New Roman" w:hAnsi="Times New Roman" w:cs="Times New Roman"/>
          <w:b/>
          <w:bCs/>
          <w:sz w:val="24"/>
          <w:szCs w:val="24"/>
          <w:u w:val="single"/>
          <w:lang w:val="en-GB"/>
        </w:rPr>
        <w:t>Key Experts will not be evaluated at the shortlisting stage.</w:t>
      </w:r>
    </w:p>
    <w:p w14:paraId="3E5C653E" w14:textId="77777777" w:rsidR="00E57B94" w:rsidRDefault="00E57B94" w:rsidP="009D124D">
      <w:pPr>
        <w:suppressAutoHyphens/>
        <w:spacing w:after="0" w:line="240" w:lineRule="auto"/>
        <w:jc w:val="both"/>
        <w:rPr>
          <w:rFonts w:ascii="Times New Roman" w:hAnsi="Times New Roman" w:cs="Times New Roman"/>
          <w:b/>
          <w:bCs/>
          <w:sz w:val="24"/>
          <w:szCs w:val="24"/>
          <w:u w:val="single"/>
          <w:lang w:val="en-GB"/>
        </w:rPr>
      </w:pPr>
    </w:p>
    <w:p w14:paraId="039EF823" w14:textId="18BBCB7B" w:rsidR="009D124D" w:rsidRPr="00E57B94" w:rsidRDefault="00E57B94" w:rsidP="00E57B94">
      <w:pPr>
        <w:jc w:val="both"/>
        <w:rPr>
          <w:rFonts w:ascii="Times New Roman" w:hAnsi="Times New Roman" w:cs="Times New Roman"/>
          <w:sz w:val="24"/>
          <w:szCs w:val="24"/>
        </w:rPr>
      </w:pPr>
      <w:r w:rsidRPr="00ED3047">
        <w:rPr>
          <w:rFonts w:ascii="Times New Roman" w:hAnsi="Times New Roman" w:cs="Times New Roman"/>
          <w:sz w:val="24"/>
          <w:szCs w:val="24"/>
        </w:rPr>
        <w:t xml:space="preserve">The Consulting Company may propose a multidisciplinary team composed of both permanent staff and external experts, provided that the proposed team collectively demonstrates the qualifications and </w:t>
      </w:r>
      <w:r w:rsidRPr="00ED3047">
        <w:rPr>
          <w:rFonts w:ascii="Times New Roman" w:hAnsi="Times New Roman" w:cs="Times New Roman"/>
          <w:sz w:val="24"/>
          <w:szCs w:val="24"/>
        </w:rPr>
        <w:lastRenderedPageBreak/>
        <w:t>experience required for successful implementation of the assignment. Particular emphasis will be placed on the complementarity of the team's expertise in financial management, higher education governance, institutional asset management, digitalization, strategic planning and public sector reform.</w:t>
      </w:r>
      <w:r>
        <w:rPr>
          <w:rFonts w:ascii="Times New Roman" w:hAnsi="Times New Roman" w:cs="Times New Roman"/>
          <w:sz w:val="24"/>
          <w:szCs w:val="24"/>
        </w:rPr>
        <w:t xml:space="preserve"> </w:t>
      </w:r>
    </w:p>
    <w:p w14:paraId="7A29233D" w14:textId="1A8BCA63" w:rsidR="0006244D" w:rsidRPr="00976ED2" w:rsidRDefault="00CA7F4D" w:rsidP="009D124D">
      <w:pPr>
        <w:jc w:val="both"/>
        <w:rPr>
          <w:rFonts w:ascii="Times New Roman" w:hAnsi="Times New Roman" w:cs="Times New Roman"/>
          <w:sz w:val="24"/>
          <w:szCs w:val="24"/>
        </w:rPr>
      </w:pPr>
      <w:r w:rsidRPr="00976ED2">
        <w:rPr>
          <w:rFonts w:ascii="Times New Roman" w:hAnsi="Times New Roman" w:cs="Times New Roman"/>
          <w:sz w:val="24"/>
          <w:szCs w:val="24"/>
        </w:rPr>
        <w:t>The proposed team shall include, at minimum, the functions listed below. Functions may be combined in one expert where adequately justified, provided that all required competencies are covered and the workload is realistic.</w:t>
      </w:r>
      <w:r w:rsidR="00E57B94">
        <w:rPr>
          <w:rFonts w:ascii="Times New Roman" w:hAnsi="Times New Roman" w:cs="Times New Roman"/>
          <w:sz w:val="24"/>
          <w:szCs w:val="24"/>
        </w:rPr>
        <w:t xml:space="preserve"> </w:t>
      </w:r>
      <w:r w:rsidR="00E57B94" w:rsidRPr="00E57B94">
        <w:rPr>
          <w:rFonts w:ascii="Times New Roman" w:hAnsi="Times New Roman" w:cs="Times New Roman"/>
          <w:sz w:val="24"/>
          <w:szCs w:val="24"/>
        </w:rPr>
        <w:t>The Consultant shall ensure that all proposed experts collectively provide the full range of competencies required for successful implementation of the assignment.</w:t>
      </w:r>
    </w:p>
    <w:tbl>
      <w:tblPr>
        <w:tblStyle w:val="Tabelgril"/>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3240"/>
        <w:gridCol w:w="6350"/>
      </w:tblGrid>
      <w:tr w:rsidR="0006244D" w:rsidRPr="00976ED2" w14:paraId="05AB0109" w14:textId="77777777" w:rsidTr="00714B82">
        <w:trPr>
          <w:tblHeader/>
          <w:jc w:val="center"/>
        </w:trPr>
        <w:tc>
          <w:tcPr>
            <w:tcW w:w="3240" w:type="dxa"/>
            <w:shd w:val="clear" w:color="auto" w:fill="1F4E79"/>
            <w:tcMar>
              <w:top w:w="80" w:type="dxa"/>
              <w:left w:w="80" w:type="dxa"/>
              <w:bottom w:w="80" w:type="dxa"/>
              <w:right w:w="80" w:type="dxa"/>
            </w:tcMar>
            <w:vAlign w:val="center"/>
          </w:tcPr>
          <w:p w14:paraId="1739D7D8"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Expert/function</w:t>
            </w:r>
          </w:p>
        </w:tc>
        <w:tc>
          <w:tcPr>
            <w:tcW w:w="6350" w:type="dxa"/>
            <w:shd w:val="clear" w:color="auto" w:fill="1F4E79"/>
            <w:tcMar>
              <w:top w:w="80" w:type="dxa"/>
              <w:left w:w="80" w:type="dxa"/>
              <w:bottom w:w="80" w:type="dxa"/>
              <w:right w:w="80" w:type="dxa"/>
            </w:tcMar>
            <w:vAlign w:val="center"/>
          </w:tcPr>
          <w:p w14:paraId="211A368A"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Minimum qualifications and experience</w:t>
            </w:r>
          </w:p>
        </w:tc>
      </w:tr>
      <w:tr w:rsidR="0006244D" w:rsidRPr="00976ED2" w14:paraId="46740D80" w14:textId="77777777" w:rsidTr="00714B82">
        <w:trPr>
          <w:jc w:val="center"/>
        </w:trPr>
        <w:tc>
          <w:tcPr>
            <w:tcW w:w="3240" w:type="dxa"/>
            <w:tcMar>
              <w:top w:w="80" w:type="dxa"/>
              <w:left w:w="80" w:type="dxa"/>
              <w:bottom w:w="80" w:type="dxa"/>
              <w:right w:w="80" w:type="dxa"/>
            </w:tcMar>
          </w:tcPr>
          <w:p w14:paraId="0C5372E4" w14:textId="1A15C2A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Team Leader/Higher Education Governance and Institutional Development Expert</w:t>
            </w:r>
          </w:p>
        </w:tc>
        <w:tc>
          <w:tcPr>
            <w:tcW w:w="6350" w:type="dxa"/>
            <w:tcMar>
              <w:top w:w="80" w:type="dxa"/>
              <w:left w:w="80" w:type="dxa"/>
              <w:bottom w:w="80" w:type="dxa"/>
              <w:right w:w="80" w:type="dxa"/>
            </w:tcMar>
          </w:tcPr>
          <w:p w14:paraId="786B4647"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economics, public administration, business administration, finance, management, public policy, education management or related field; at least 7 years of relevant professional experience; demonstrated experience in coordinating complex consulting assignments; experience in strategic planning, institutional development, higher education governance or public sector reform.</w:t>
            </w:r>
          </w:p>
        </w:tc>
      </w:tr>
      <w:tr w:rsidR="0006244D" w:rsidRPr="00976ED2" w14:paraId="56116B74" w14:textId="77777777" w:rsidTr="00714B82">
        <w:trPr>
          <w:jc w:val="center"/>
        </w:trPr>
        <w:tc>
          <w:tcPr>
            <w:tcW w:w="3240" w:type="dxa"/>
            <w:tcMar>
              <w:top w:w="80" w:type="dxa"/>
              <w:left w:w="80" w:type="dxa"/>
              <w:bottom w:w="80" w:type="dxa"/>
              <w:right w:w="80" w:type="dxa"/>
            </w:tcMar>
          </w:tcPr>
          <w:p w14:paraId="6D36BD24" w14:textId="3562C5F2"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Financial Management/Public Finance Expert</w:t>
            </w:r>
          </w:p>
        </w:tc>
        <w:tc>
          <w:tcPr>
            <w:tcW w:w="6350" w:type="dxa"/>
            <w:tcMar>
              <w:top w:w="80" w:type="dxa"/>
              <w:left w:w="80" w:type="dxa"/>
              <w:bottom w:w="80" w:type="dxa"/>
              <w:right w:w="80" w:type="dxa"/>
            </w:tcMar>
          </w:tcPr>
          <w:p w14:paraId="6802FF84"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finance, accounting, economics, public finance or related field; at least 5 years of professional experience in financial management, financial analysis, budgeting or institutional finance; experience in public sector or higher education financial management will constitute an advantage.</w:t>
            </w:r>
          </w:p>
        </w:tc>
      </w:tr>
      <w:tr w:rsidR="0006244D" w:rsidRPr="00976ED2" w14:paraId="5F64D444" w14:textId="77777777" w:rsidTr="00714B82">
        <w:trPr>
          <w:jc w:val="center"/>
        </w:trPr>
        <w:tc>
          <w:tcPr>
            <w:tcW w:w="3240" w:type="dxa"/>
            <w:tcMar>
              <w:top w:w="80" w:type="dxa"/>
              <w:left w:w="80" w:type="dxa"/>
              <w:bottom w:w="80" w:type="dxa"/>
              <w:right w:w="80" w:type="dxa"/>
            </w:tcMar>
          </w:tcPr>
          <w:p w14:paraId="75542EAF" w14:textId="6ED5ECAB"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Cost Accounting/Financial Analysis Expert</w:t>
            </w:r>
          </w:p>
        </w:tc>
        <w:tc>
          <w:tcPr>
            <w:tcW w:w="6350" w:type="dxa"/>
            <w:tcMar>
              <w:top w:w="80" w:type="dxa"/>
              <w:left w:w="80" w:type="dxa"/>
              <w:bottom w:w="80" w:type="dxa"/>
              <w:right w:w="80" w:type="dxa"/>
            </w:tcMar>
          </w:tcPr>
          <w:p w14:paraId="398FDED8"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accounting, finance, economics, business administration or related field; at least 5 years of experience in cost analysis, cost-center mapping, management accounting, expenditure analysis, financial modelling or institutional diagnostics.</w:t>
            </w:r>
          </w:p>
        </w:tc>
      </w:tr>
      <w:tr w:rsidR="0006244D" w:rsidRPr="00976ED2" w14:paraId="35FE4FF9" w14:textId="77777777" w:rsidTr="00714B82">
        <w:trPr>
          <w:jc w:val="center"/>
        </w:trPr>
        <w:tc>
          <w:tcPr>
            <w:tcW w:w="3240" w:type="dxa"/>
            <w:tcMar>
              <w:top w:w="80" w:type="dxa"/>
              <w:left w:w="80" w:type="dxa"/>
              <w:bottom w:w="80" w:type="dxa"/>
              <w:right w:w="80" w:type="dxa"/>
            </w:tcMar>
          </w:tcPr>
          <w:p w14:paraId="3A301FB4" w14:textId="1FE56039"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Business Development/ Financial Sustainability Expert</w:t>
            </w:r>
          </w:p>
        </w:tc>
        <w:tc>
          <w:tcPr>
            <w:tcW w:w="6350" w:type="dxa"/>
            <w:tcMar>
              <w:top w:w="80" w:type="dxa"/>
              <w:left w:w="80" w:type="dxa"/>
              <w:bottom w:w="80" w:type="dxa"/>
              <w:right w:w="80" w:type="dxa"/>
            </w:tcMar>
          </w:tcPr>
          <w:p w14:paraId="633CFE8D"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economics, business administration, management, finance or related field; at least 5 years of experience in business planning, revenue diversification, financial sustainability analysis, investment planning or development of institutional sustainability strategies.</w:t>
            </w:r>
          </w:p>
        </w:tc>
      </w:tr>
      <w:tr w:rsidR="0006244D" w:rsidRPr="00976ED2" w14:paraId="777B5943" w14:textId="77777777" w:rsidTr="00714B82">
        <w:trPr>
          <w:jc w:val="center"/>
        </w:trPr>
        <w:tc>
          <w:tcPr>
            <w:tcW w:w="3240" w:type="dxa"/>
            <w:tcMar>
              <w:top w:w="80" w:type="dxa"/>
              <w:left w:w="80" w:type="dxa"/>
              <w:bottom w:w="80" w:type="dxa"/>
              <w:right w:w="80" w:type="dxa"/>
            </w:tcMar>
          </w:tcPr>
          <w:p w14:paraId="784EDABF" w14:textId="3DA9272D"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Asset Management/ Infrastructure Expert</w:t>
            </w:r>
          </w:p>
        </w:tc>
        <w:tc>
          <w:tcPr>
            <w:tcW w:w="6350" w:type="dxa"/>
            <w:tcMar>
              <w:top w:w="80" w:type="dxa"/>
              <w:left w:w="80" w:type="dxa"/>
              <w:bottom w:w="80" w:type="dxa"/>
              <w:right w:w="80" w:type="dxa"/>
            </w:tcMar>
          </w:tcPr>
          <w:p w14:paraId="042AC2AF"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engineering, infrastructure management, economics, real estate management, asset management or related field; at least 5 years of relevant professional experience in asset assessment, infrastructure utilization analysis, facilities management or institutional asset management.</w:t>
            </w:r>
          </w:p>
        </w:tc>
      </w:tr>
      <w:tr w:rsidR="0006244D" w:rsidRPr="00976ED2" w14:paraId="40FB8149" w14:textId="77777777" w:rsidTr="00714B82">
        <w:trPr>
          <w:jc w:val="center"/>
        </w:trPr>
        <w:tc>
          <w:tcPr>
            <w:tcW w:w="3240" w:type="dxa"/>
            <w:tcMar>
              <w:top w:w="80" w:type="dxa"/>
              <w:left w:w="80" w:type="dxa"/>
              <w:bottom w:w="80" w:type="dxa"/>
              <w:right w:w="80" w:type="dxa"/>
            </w:tcMar>
          </w:tcPr>
          <w:p w14:paraId="521C4731" w14:textId="03089C76"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Digitalization/Management Information Systems Expert</w:t>
            </w:r>
          </w:p>
        </w:tc>
        <w:tc>
          <w:tcPr>
            <w:tcW w:w="6350" w:type="dxa"/>
            <w:tcMar>
              <w:top w:w="80" w:type="dxa"/>
              <w:left w:w="80" w:type="dxa"/>
              <w:bottom w:w="80" w:type="dxa"/>
              <w:right w:w="80" w:type="dxa"/>
            </w:tcMar>
          </w:tcPr>
          <w:p w14:paraId="21E3F35A"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Higher education degree in information systems, digital transformation, data management, public administration, finance, economics or related field; at least 5 years of experience in assessing or implementing digital systems, management information systems, financial information systems, dashboards, process automation or data-driven management tools.</w:t>
            </w:r>
          </w:p>
        </w:tc>
      </w:tr>
      <w:tr w:rsidR="0006244D" w:rsidRPr="00976ED2" w14:paraId="16B33AD6" w14:textId="77777777" w:rsidTr="00714B82">
        <w:trPr>
          <w:jc w:val="center"/>
        </w:trPr>
        <w:tc>
          <w:tcPr>
            <w:tcW w:w="3240" w:type="dxa"/>
            <w:tcMar>
              <w:top w:w="80" w:type="dxa"/>
              <w:left w:w="80" w:type="dxa"/>
              <w:bottom w:w="80" w:type="dxa"/>
              <w:right w:w="80" w:type="dxa"/>
            </w:tcMar>
          </w:tcPr>
          <w:p w14:paraId="0B9BB333" w14:textId="2736563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Internal Control/Governance Expert, where not covered by other experts</w:t>
            </w:r>
          </w:p>
        </w:tc>
        <w:tc>
          <w:tcPr>
            <w:tcW w:w="6350" w:type="dxa"/>
            <w:tcMar>
              <w:top w:w="80" w:type="dxa"/>
              <w:left w:w="80" w:type="dxa"/>
              <w:bottom w:w="80" w:type="dxa"/>
              <w:right w:w="80" w:type="dxa"/>
            </w:tcMar>
          </w:tcPr>
          <w:p w14:paraId="6F3671A8" w14:textId="77777777" w:rsidR="0006244D" w:rsidRPr="00976ED2" w:rsidRDefault="00CA7F4D" w:rsidP="009D124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 xml:space="preserve">Relevant higher education degree and at least 5 years of experience in internal control, audit, governance, risk </w:t>
            </w:r>
            <w:r w:rsidRPr="00976ED2">
              <w:rPr>
                <w:rFonts w:ascii="Times New Roman" w:hAnsi="Times New Roman" w:cs="Times New Roman"/>
                <w:sz w:val="24"/>
                <w:szCs w:val="24"/>
              </w:rPr>
              <w:lastRenderedPageBreak/>
              <w:t>management, public sector management, institutional governance or compliance.</w:t>
            </w:r>
          </w:p>
        </w:tc>
      </w:tr>
    </w:tbl>
    <w:p w14:paraId="74E4E082" w14:textId="77777777" w:rsidR="0006244D" w:rsidRPr="00976ED2" w:rsidRDefault="0006244D" w:rsidP="009D124D">
      <w:pPr>
        <w:jc w:val="both"/>
        <w:rPr>
          <w:rFonts w:ascii="Times New Roman" w:hAnsi="Times New Roman" w:cs="Times New Roman"/>
          <w:sz w:val="24"/>
          <w:szCs w:val="24"/>
        </w:rPr>
      </w:pPr>
    </w:p>
    <w:p w14:paraId="0B85C0FC" w14:textId="77777777" w:rsidR="0006244D" w:rsidRPr="00976ED2" w:rsidRDefault="00CA7F4D" w:rsidP="009D124D">
      <w:pPr>
        <w:jc w:val="both"/>
        <w:rPr>
          <w:rFonts w:ascii="Times New Roman" w:hAnsi="Times New Roman" w:cs="Times New Roman"/>
          <w:sz w:val="24"/>
          <w:szCs w:val="24"/>
        </w:rPr>
      </w:pPr>
      <w:r w:rsidRPr="00976ED2">
        <w:rPr>
          <w:rFonts w:ascii="Times New Roman" w:hAnsi="Times New Roman" w:cs="Times New Roman"/>
          <w:sz w:val="24"/>
          <w:szCs w:val="24"/>
        </w:rPr>
        <w:t>The Consulting Company may propose additional experts, including legal, real estate, higher education finance, energy efficiency, procurement, data analytics or sector-specific experts, as needed for successful implementation of the assignment.</w:t>
      </w:r>
    </w:p>
    <w:p w14:paraId="73E2518E"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t>6. Duration of the assignment, estimated time input and expected outcomes</w:t>
      </w:r>
    </w:p>
    <w:p w14:paraId="4C5FB516"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estimated duration of the assignment is up to 8 months from the date of contract signing. The Consulting Company is expected to provide all necessary professional, technical and logistical inputs required for successful implementation of the assignment.</w:t>
      </w:r>
    </w:p>
    <w:p w14:paraId="0EB2FA9E"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assignment shall be implemented in close coordination with the MoER, the PMT and beneficiary universities.</w:t>
      </w:r>
    </w:p>
    <w:p w14:paraId="034528EA"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expected outcomes of the assignment include:</w:t>
      </w:r>
    </w:p>
    <w:p w14:paraId="0F3F3E40"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improved understanding of the financial health, revenue structure, expenditure structure and cost centers of beneficiary universities;</w:t>
      </w:r>
    </w:p>
    <w:p w14:paraId="0843DB4C"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improved understanding of institutional assets, resource utilization, operating costs and revenue-generation potential;</w:t>
      </w:r>
    </w:p>
    <w:p w14:paraId="2E40A603"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identification of feasible opportunities for revenue growth, revenue diversification and sustainable commercial use of assets;</w:t>
      </w:r>
    </w:p>
    <w:p w14:paraId="012D8BCC"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identification of feasible cost optimization and expenditure reduction measures;</w:t>
      </w:r>
    </w:p>
    <w:p w14:paraId="4B58C842"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strengthened institutional financial management, governance, internal control and data-driven decision-making practices;</w:t>
      </w:r>
    </w:p>
    <w:p w14:paraId="280759D4"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improved understanding of staff capacity gaps and digitalization needs in financial and resource management processes;</w:t>
      </w:r>
    </w:p>
    <w:p w14:paraId="3D0DF4C1"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development of institution-specific five-year financial sustainability strategies with implementation roadmaps and measurable targets; and</w:t>
      </w:r>
    </w:p>
    <w:p w14:paraId="5B7368AD"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enhanced institutional capacity for evidence-based financial planning and strategic resource management.</w:t>
      </w:r>
    </w:p>
    <w:p w14:paraId="7583A982"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This consultancy is expected to start in October 2026. All reports shall be submitted in Romanian language in electronic format to the MoER. The final report shall be submitted both in Romanian and English, in electronic and hard-copy format.</w:t>
      </w:r>
    </w:p>
    <w:p w14:paraId="570AD94F"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period for review and approval of submitted deliverables shall not exceed 10 working days from the date of submission to the MoER. In case revisions or additional clarifications are required, the deliverables may be returned to the Consulting Company for further completion. The submission date shall be considered the date on which the MoER confirms receipt of the deliverables.</w:t>
      </w:r>
    </w:p>
    <w:p w14:paraId="563F99EB" w14:textId="77777777" w:rsidR="0006244D" w:rsidRPr="00976ED2" w:rsidRDefault="00CA7F4D">
      <w:pPr>
        <w:pStyle w:val="Titlu1"/>
        <w:spacing w:after="120"/>
        <w:rPr>
          <w:rFonts w:ascii="Times New Roman" w:hAnsi="Times New Roman" w:cs="Times New Roman"/>
          <w:sz w:val="24"/>
          <w:szCs w:val="24"/>
        </w:rPr>
      </w:pPr>
      <w:r w:rsidRPr="00976ED2">
        <w:rPr>
          <w:rFonts w:ascii="Times New Roman" w:eastAsia="Arial" w:hAnsi="Times New Roman" w:cs="Times New Roman"/>
          <w:sz w:val="24"/>
          <w:szCs w:val="24"/>
        </w:rPr>
        <w:t>7. Deliverables</w:t>
      </w:r>
    </w:p>
    <w:tbl>
      <w:tblPr>
        <w:tblStyle w:val="Tabelgril"/>
        <w:tblW w:w="9631" w:type="dxa"/>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559"/>
        <w:gridCol w:w="4584"/>
        <w:gridCol w:w="1474"/>
        <w:gridCol w:w="1587"/>
        <w:gridCol w:w="1427"/>
      </w:tblGrid>
      <w:tr w:rsidR="0006244D" w:rsidRPr="00976ED2" w14:paraId="53455CBC" w14:textId="77777777" w:rsidTr="00714B82">
        <w:trPr>
          <w:tblHeader/>
          <w:jc w:val="center"/>
        </w:trPr>
        <w:tc>
          <w:tcPr>
            <w:tcW w:w="559" w:type="dxa"/>
            <w:shd w:val="clear" w:color="auto" w:fill="1F4E79"/>
            <w:tcMar>
              <w:top w:w="80" w:type="dxa"/>
              <w:left w:w="80" w:type="dxa"/>
              <w:bottom w:w="80" w:type="dxa"/>
              <w:right w:w="80" w:type="dxa"/>
            </w:tcMar>
            <w:vAlign w:val="center"/>
          </w:tcPr>
          <w:p w14:paraId="6100ADA0"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b/>
                <w:color w:val="FFFFFF"/>
                <w:sz w:val="24"/>
                <w:szCs w:val="24"/>
              </w:rPr>
              <w:t>No.</w:t>
            </w:r>
          </w:p>
        </w:tc>
        <w:tc>
          <w:tcPr>
            <w:tcW w:w="4584" w:type="dxa"/>
            <w:shd w:val="clear" w:color="auto" w:fill="1F4E79"/>
            <w:tcMar>
              <w:top w:w="80" w:type="dxa"/>
              <w:left w:w="80" w:type="dxa"/>
              <w:bottom w:w="80" w:type="dxa"/>
              <w:right w:w="80" w:type="dxa"/>
            </w:tcMar>
            <w:vAlign w:val="center"/>
          </w:tcPr>
          <w:p w14:paraId="7211CA7C"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b/>
                <w:color w:val="FFFFFF"/>
                <w:sz w:val="24"/>
                <w:szCs w:val="24"/>
              </w:rPr>
              <w:t>Deliverable</w:t>
            </w:r>
          </w:p>
        </w:tc>
        <w:tc>
          <w:tcPr>
            <w:tcW w:w="1474" w:type="dxa"/>
            <w:shd w:val="clear" w:color="auto" w:fill="1F4E79"/>
            <w:tcMar>
              <w:top w:w="80" w:type="dxa"/>
              <w:left w:w="80" w:type="dxa"/>
              <w:bottom w:w="80" w:type="dxa"/>
              <w:right w:w="80" w:type="dxa"/>
            </w:tcMar>
            <w:vAlign w:val="center"/>
          </w:tcPr>
          <w:p w14:paraId="2F91DE73"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b/>
                <w:color w:val="FFFFFF"/>
                <w:sz w:val="24"/>
                <w:szCs w:val="24"/>
              </w:rPr>
              <w:t>Submission deadline</w:t>
            </w:r>
          </w:p>
        </w:tc>
        <w:tc>
          <w:tcPr>
            <w:tcW w:w="1587" w:type="dxa"/>
            <w:shd w:val="clear" w:color="auto" w:fill="1F4E79"/>
            <w:tcMar>
              <w:top w:w="80" w:type="dxa"/>
              <w:left w:w="80" w:type="dxa"/>
              <w:bottom w:w="80" w:type="dxa"/>
              <w:right w:w="80" w:type="dxa"/>
            </w:tcMar>
            <w:vAlign w:val="center"/>
          </w:tcPr>
          <w:p w14:paraId="0A0FAEBB"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b/>
                <w:color w:val="FFFFFF"/>
                <w:sz w:val="24"/>
                <w:szCs w:val="24"/>
              </w:rPr>
              <w:t>Format</w:t>
            </w:r>
          </w:p>
        </w:tc>
        <w:tc>
          <w:tcPr>
            <w:tcW w:w="1427" w:type="dxa"/>
            <w:shd w:val="clear" w:color="auto" w:fill="1F4E79"/>
            <w:tcMar>
              <w:top w:w="80" w:type="dxa"/>
              <w:left w:w="80" w:type="dxa"/>
              <w:bottom w:w="80" w:type="dxa"/>
              <w:right w:w="80" w:type="dxa"/>
            </w:tcMar>
            <w:vAlign w:val="center"/>
          </w:tcPr>
          <w:p w14:paraId="16AF0451"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b/>
                <w:color w:val="FFFFFF"/>
                <w:sz w:val="24"/>
                <w:szCs w:val="24"/>
              </w:rPr>
              <w:t>Approval by</w:t>
            </w:r>
          </w:p>
        </w:tc>
      </w:tr>
      <w:tr w:rsidR="0006244D" w:rsidRPr="00976ED2" w14:paraId="05C0AD92" w14:textId="77777777" w:rsidTr="00714B82">
        <w:trPr>
          <w:jc w:val="center"/>
        </w:trPr>
        <w:tc>
          <w:tcPr>
            <w:tcW w:w="559" w:type="dxa"/>
            <w:tcMar>
              <w:top w:w="80" w:type="dxa"/>
              <w:left w:w="80" w:type="dxa"/>
              <w:bottom w:w="80" w:type="dxa"/>
              <w:right w:w="80" w:type="dxa"/>
            </w:tcMar>
          </w:tcPr>
          <w:p w14:paraId="270372D0"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1</w:t>
            </w:r>
          </w:p>
        </w:tc>
        <w:tc>
          <w:tcPr>
            <w:tcW w:w="4584" w:type="dxa"/>
            <w:tcMar>
              <w:top w:w="80" w:type="dxa"/>
              <w:left w:w="80" w:type="dxa"/>
              <w:bottom w:w="80" w:type="dxa"/>
              <w:right w:w="80" w:type="dxa"/>
            </w:tcMar>
          </w:tcPr>
          <w:p w14:paraId="4A585939"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 xml:space="preserve">Inception Report with methodology, work plan, tools, data request templates, stakeholder </w:t>
            </w:r>
            <w:r w:rsidRPr="00976ED2">
              <w:rPr>
                <w:rFonts w:ascii="Times New Roman" w:hAnsi="Times New Roman" w:cs="Times New Roman"/>
                <w:sz w:val="24"/>
                <w:szCs w:val="24"/>
              </w:rPr>
              <w:lastRenderedPageBreak/>
              <w:t>engagement and quality assurance arrangements</w:t>
            </w:r>
          </w:p>
        </w:tc>
        <w:tc>
          <w:tcPr>
            <w:tcW w:w="1474" w:type="dxa"/>
            <w:tcMar>
              <w:top w:w="80" w:type="dxa"/>
              <w:left w:w="80" w:type="dxa"/>
              <w:bottom w:w="80" w:type="dxa"/>
              <w:right w:w="80" w:type="dxa"/>
            </w:tcMar>
          </w:tcPr>
          <w:p w14:paraId="3A63BA5F"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lastRenderedPageBreak/>
              <w:t>3 weeks from signing the contract</w:t>
            </w:r>
          </w:p>
        </w:tc>
        <w:tc>
          <w:tcPr>
            <w:tcW w:w="1587" w:type="dxa"/>
            <w:tcMar>
              <w:top w:w="80" w:type="dxa"/>
              <w:left w:w="80" w:type="dxa"/>
              <w:bottom w:w="80" w:type="dxa"/>
              <w:right w:w="80" w:type="dxa"/>
            </w:tcMar>
          </w:tcPr>
          <w:p w14:paraId="1EF1A01C"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36982498"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and PMT</w:t>
            </w:r>
          </w:p>
        </w:tc>
      </w:tr>
      <w:tr w:rsidR="0006244D" w:rsidRPr="00976ED2" w14:paraId="3F70D744" w14:textId="77777777" w:rsidTr="00714B82">
        <w:trPr>
          <w:jc w:val="center"/>
        </w:trPr>
        <w:tc>
          <w:tcPr>
            <w:tcW w:w="559" w:type="dxa"/>
            <w:tcMar>
              <w:top w:w="80" w:type="dxa"/>
              <w:left w:w="80" w:type="dxa"/>
              <w:bottom w:w="80" w:type="dxa"/>
              <w:right w:w="80" w:type="dxa"/>
            </w:tcMar>
          </w:tcPr>
          <w:p w14:paraId="4BCF5F0E"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2</w:t>
            </w:r>
          </w:p>
        </w:tc>
        <w:tc>
          <w:tcPr>
            <w:tcW w:w="4584" w:type="dxa"/>
            <w:tcMar>
              <w:top w:w="80" w:type="dxa"/>
              <w:left w:w="80" w:type="dxa"/>
              <w:bottom w:w="80" w:type="dxa"/>
              <w:right w:w="80" w:type="dxa"/>
            </w:tcMar>
          </w:tcPr>
          <w:p w14:paraId="6D7E6B95"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Institutional Financial Diagnostic Reports for each beneficiary university</w:t>
            </w:r>
          </w:p>
        </w:tc>
        <w:tc>
          <w:tcPr>
            <w:tcW w:w="1474" w:type="dxa"/>
            <w:tcMar>
              <w:top w:w="80" w:type="dxa"/>
              <w:left w:w="80" w:type="dxa"/>
              <w:bottom w:w="80" w:type="dxa"/>
              <w:right w:w="80" w:type="dxa"/>
            </w:tcMar>
          </w:tcPr>
          <w:p w14:paraId="25F2289E"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10 weeks from signing the contract</w:t>
            </w:r>
          </w:p>
        </w:tc>
        <w:tc>
          <w:tcPr>
            <w:tcW w:w="1587" w:type="dxa"/>
            <w:tcMar>
              <w:top w:w="80" w:type="dxa"/>
              <w:left w:w="80" w:type="dxa"/>
              <w:bottom w:w="80" w:type="dxa"/>
              <w:right w:w="80" w:type="dxa"/>
            </w:tcMar>
          </w:tcPr>
          <w:p w14:paraId="560D080B"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4CFA753F"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PMT and beneficiary universities</w:t>
            </w:r>
          </w:p>
        </w:tc>
      </w:tr>
      <w:tr w:rsidR="0006244D" w:rsidRPr="00976ED2" w14:paraId="1D7BA533" w14:textId="77777777" w:rsidTr="00714B82">
        <w:trPr>
          <w:jc w:val="center"/>
        </w:trPr>
        <w:tc>
          <w:tcPr>
            <w:tcW w:w="559" w:type="dxa"/>
            <w:tcMar>
              <w:top w:w="80" w:type="dxa"/>
              <w:left w:w="80" w:type="dxa"/>
              <w:bottom w:w="80" w:type="dxa"/>
              <w:right w:w="80" w:type="dxa"/>
            </w:tcMar>
          </w:tcPr>
          <w:p w14:paraId="66FF1C53"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3</w:t>
            </w:r>
          </w:p>
        </w:tc>
        <w:tc>
          <w:tcPr>
            <w:tcW w:w="4584" w:type="dxa"/>
            <w:tcMar>
              <w:top w:w="80" w:type="dxa"/>
              <w:left w:w="80" w:type="dxa"/>
              <w:bottom w:w="80" w:type="dxa"/>
              <w:right w:w="80" w:type="dxa"/>
            </w:tcMar>
          </w:tcPr>
          <w:p w14:paraId="63EE8713"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Institutional Asset Audit and Utilization Assessment Reports</w:t>
            </w:r>
          </w:p>
        </w:tc>
        <w:tc>
          <w:tcPr>
            <w:tcW w:w="1474" w:type="dxa"/>
            <w:tcMar>
              <w:top w:w="80" w:type="dxa"/>
              <w:left w:w="80" w:type="dxa"/>
              <w:bottom w:w="80" w:type="dxa"/>
              <w:right w:w="80" w:type="dxa"/>
            </w:tcMar>
          </w:tcPr>
          <w:p w14:paraId="50C0C575"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16 weeks from signing the contract</w:t>
            </w:r>
          </w:p>
        </w:tc>
        <w:tc>
          <w:tcPr>
            <w:tcW w:w="1587" w:type="dxa"/>
            <w:tcMar>
              <w:top w:w="80" w:type="dxa"/>
              <w:left w:w="80" w:type="dxa"/>
              <w:bottom w:w="80" w:type="dxa"/>
              <w:right w:w="80" w:type="dxa"/>
            </w:tcMar>
          </w:tcPr>
          <w:p w14:paraId="0E640661"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2E5567CB"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PMT and beneficiary universities</w:t>
            </w:r>
          </w:p>
        </w:tc>
      </w:tr>
      <w:tr w:rsidR="0006244D" w:rsidRPr="00976ED2" w14:paraId="3FB64B9A" w14:textId="77777777" w:rsidTr="00714B82">
        <w:trPr>
          <w:jc w:val="center"/>
        </w:trPr>
        <w:tc>
          <w:tcPr>
            <w:tcW w:w="559" w:type="dxa"/>
            <w:tcMar>
              <w:top w:w="80" w:type="dxa"/>
              <w:left w:w="80" w:type="dxa"/>
              <w:bottom w:w="80" w:type="dxa"/>
              <w:right w:w="80" w:type="dxa"/>
            </w:tcMar>
          </w:tcPr>
          <w:p w14:paraId="2B7D4FD3"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4</w:t>
            </w:r>
          </w:p>
        </w:tc>
        <w:tc>
          <w:tcPr>
            <w:tcW w:w="4584" w:type="dxa"/>
            <w:tcMar>
              <w:top w:w="80" w:type="dxa"/>
              <w:left w:w="80" w:type="dxa"/>
              <w:bottom w:w="80" w:type="dxa"/>
              <w:right w:w="80" w:type="dxa"/>
            </w:tcMar>
          </w:tcPr>
          <w:p w14:paraId="016C1145"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Revenue Growth, Diversification and Cost Optimization Options Report</w:t>
            </w:r>
          </w:p>
        </w:tc>
        <w:tc>
          <w:tcPr>
            <w:tcW w:w="1474" w:type="dxa"/>
            <w:tcMar>
              <w:top w:w="80" w:type="dxa"/>
              <w:left w:w="80" w:type="dxa"/>
              <w:bottom w:w="80" w:type="dxa"/>
              <w:right w:w="80" w:type="dxa"/>
            </w:tcMar>
          </w:tcPr>
          <w:p w14:paraId="29DF3FB6"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20 weeks from signing the contract</w:t>
            </w:r>
          </w:p>
        </w:tc>
        <w:tc>
          <w:tcPr>
            <w:tcW w:w="1587" w:type="dxa"/>
            <w:tcMar>
              <w:top w:w="80" w:type="dxa"/>
              <w:left w:w="80" w:type="dxa"/>
              <w:bottom w:w="80" w:type="dxa"/>
              <w:right w:w="80" w:type="dxa"/>
            </w:tcMar>
          </w:tcPr>
          <w:p w14:paraId="749BF312"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1DC8E999"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and PMT</w:t>
            </w:r>
          </w:p>
        </w:tc>
      </w:tr>
      <w:tr w:rsidR="0006244D" w:rsidRPr="00976ED2" w14:paraId="6B569B23" w14:textId="77777777" w:rsidTr="00714B82">
        <w:trPr>
          <w:jc w:val="center"/>
        </w:trPr>
        <w:tc>
          <w:tcPr>
            <w:tcW w:w="559" w:type="dxa"/>
            <w:tcMar>
              <w:top w:w="80" w:type="dxa"/>
              <w:left w:w="80" w:type="dxa"/>
              <w:bottom w:w="80" w:type="dxa"/>
              <w:right w:w="80" w:type="dxa"/>
            </w:tcMar>
          </w:tcPr>
          <w:p w14:paraId="4F7F358D"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5</w:t>
            </w:r>
          </w:p>
        </w:tc>
        <w:tc>
          <w:tcPr>
            <w:tcW w:w="4584" w:type="dxa"/>
            <w:tcMar>
              <w:top w:w="80" w:type="dxa"/>
              <w:left w:w="80" w:type="dxa"/>
              <w:bottom w:w="80" w:type="dxa"/>
              <w:right w:w="80" w:type="dxa"/>
            </w:tcMar>
          </w:tcPr>
          <w:p w14:paraId="5E363D8F"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Financial Management, Governance, Staff Capacity and Digitalization Diagnostic Report</w:t>
            </w:r>
          </w:p>
        </w:tc>
        <w:tc>
          <w:tcPr>
            <w:tcW w:w="1474" w:type="dxa"/>
            <w:tcMar>
              <w:top w:w="80" w:type="dxa"/>
              <w:left w:w="80" w:type="dxa"/>
              <w:bottom w:w="80" w:type="dxa"/>
              <w:right w:w="80" w:type="dxa"/>
            </w:tcMar>
          </w:tcPr>
          <w:p w14:paraId="61E480E5"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24 weeks from signing the contract</w:t>
            </w:r>
          </w:p>
        </w:tc>
        <w:tc>
          <w:tcPr>
            <w:tcW w:w="1587" w:type="dxa"/>
            <w:tcMar>
              <w:top w:w="80" w:type="dxa"/>
              <w:left w:w="80" w:type="dxa"/>
              <w:bottom w:w="80" w:type="dxa"/>
              <w:right w:w="80" w:type="dxa"/>
            </w:tcMar>
          </w:tcPr>
          <w:p w14:paraId="1631CB41"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0F4F2BF9"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PMT and beneficiary universities</w:t>
            </w:r>
          </w:p>
        </w:tc>
      </w:tr>
      <w:tr w:rsidR="0006244D" w:rsidRPr="00976ED2" w14:paraId="396888C3" w14:textId="77777777" w:rsidTr="00714B82">
        <w:trPr>
          <w:jc w:val="center"/>
        </w:trPr>
        <w:tc>
          <w:tcPr>
            <w:tcW w:w="559" w:type="dxa"/>
            <w:tcMar>
              <w:top w:w="80" w:type="dxa"/>
              <w:left w:w="80" w:type="dxa"/>
              <w:bottom w:w="80" w:type="dxa"/>
              <w:right w:w="80" w:type="dxa"/>
            </w:tcMar>
          </w:tcPr>
          <w:p w14:paraId="748A89F1"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6</w:t>
            </w:r>
          </w:p>
        </w:tc>
        <w:tc>
          <w:tcPr>
            <w:tcW w:w="4584" w:type="dxa"/>
            <w:tcMar>
              <w:top w:w="80" w:type="dxa"/>
              <w:left w:w="80" w:type="dxa"/>
              <w:bottom w:w="80" w:type="dxa"/>
              <w:right w:w="80" w:type="dxa"/>
            </w:tcMar>
          </w:tcPr>
          <w:p w14:paraId="01DAE90D"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Draft Five-Year Institutional Financial Sustainability Strategies for each beneficiary university</w:t>
            </w:r>
          </w:p>
        </w:tc>
        <w:tc>
          <w:tcPr>
            <w:tcW w:w="1474" w:type="dxa"/>
            <w:tcMar>
              <w:top w:w="80" w:type="dxa"/>
              <w:left w:w="80" w:type="dxa"/>
              <w:bottom w:w="80" w:type="dxa"/>
              <w:right w:w="80" w:type="dxa"/>
            </w:tcMar>
          </w:tcPr>
          <w:p w14:paraId="462B4CFF"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28 weeks from signing the contract</w:t>
            </w:r>
          </w:p>
        </w:tc>
        <w:tc>
          <w:tcPr>
            <w:tcW w:w="1587" w:type="dxa"/>
            <w:tcMar>
              <w:top w:w="80" w:type="dxa"/>
              <w:left w:w="80" w:type="dxa"/>
              <w:bottom w:w="80" w:type="dxa"/>
              <w:right w:w="80" w:type="dxa"/>
            </w:tcMar>
          </w:tcPr>
          <w:p w14:paraId="0635B21A"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w:t>
            </w:r>
          </w:p>
        </w:tc>
        <w:tc>
          <w:tcPr>
            <w:tcW w:w="1427" w:type="dxa"/>
            <w:tcMar>
              <w:top w:w="80" w:type="dxa"/>
              <w:left w:w="80" w:type="dxa"/>
              <w:bottom w:w="80" w:type="dxa"/>
              <w:right w:w="80" w:type="dxa"/>
            </w:tcMar>
          </w:tcPr>
          <w:p w14:paraId="54FE434B"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PMT and beneficiary universities</w:t>
            </w:r>
          </w:p>
        </w:tc>
      </w:tr>
      <w:tr w:rsidR="0006244D" w:rsidRPr="00976ED2" w14:paraId="74539979" w14:textId="77777777" w:rsidTr="00714B82">
        <w:trPr>
          <w:jc w:val="center"/>
        </w:trPr>
        <w:tc>
          <w:tcPr>
            <w:tcW w:w="559" w:type="dxa"/>
            <w:tcMar>
              <w:top w:w="80" w:type="dxa"/>
              <w:left w:w="80" w:type="dxa"/>
              <w:bottom w:w="80" w:type="dxa"/>
              <w:right w:w="80" w:type="dxa"/>
            </w:tcMar>
          </w:tcPr>
          <w:p w14:paraId="7A53659F"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7</w:t>
            </w:r>
          </w:p>
        </w:tc>
        <w:tc>
          <w:tcPr>
            <w:tcW w:w="4584" w:type="dxa"/>
            <w:tcMar>
              <w:top w:w="80" w:type="dxa"/>
              <w:left w:w="80" w:type="dxa"/>
              <w:bottom w:w="80" w:type="dxa"/>
              <w:right w:w="80" w:type="dxa"/>
            </w:tcMar>
          </w:tcPr>
          <w:p w14:paraId="6C6E7B39" w14:textId="77777777"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Capacity-building, presentation, consultation and validation activities</w:t>
            </w:r>
          </w:p>
        </w:tc>
        <w:tc>
          <w:tcPr>
            <w:tcW w:w="1474" w:type="dxa"/>
            <w:tcMar>
              <w:top w:w="80" w:type="dxa"/>
              <w:left w:w="80" w:type="dxa"/>
              <w:bottom w:w="80" w:type="dxa"/>
              <w:right w:w="80" w:type="dxa"/>
            </w:tcMar>
          </w:tcPr>
          <w:p w14:paraId="657A1A4A"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Throughout the assignment period</w:t>
            </w:r>
          </w:p>
        </w:tc>
        <w:tc>
          <w:tcPr>
            <w:tcW w:w="1587" w:type="dxa"/>
            <w:tcMar>
              <w:top w:w="80" w:type="dxa"/>
              <w:left w:w="80" w:type="dxa"/>
              <w:bottom w:w="80" w:type="dxa"/>
              <w:right w:w="80" w:type="dxa"/>
            </w:tcMar>
          </w:tcPr>
          <w:p w14:paraId="184F67F8"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Training materials, presentations and attendance records</w:t>
            </w:r>
          </w:p>
        </w:tc>
        <w:tc>
          <w:tcPr>
            <w:tcW w:w="1427" w:type="dxa"/>
            <w:tcMar>
              <w:top w:w="80" w:type="dxa"/>
              <w:left w:w="80" w:type="dxa"/>
              <w:bottom w:w="80" w:type="dxa"/>
              <w:right w:w="80" w:type="dxa"/>
            </w:tcMar>
          </w:tcPr>
          <w:p w14:paraId="39545BD4"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and PMT</w:t>
            </w:r>
          </w:p>
        </w:tc>
      </w:tr>
      <w:tr w:rsidR="0006244D" w:rsidRPr="00976ED2" w14:paraId="233D775C" w14:textId="77777777" w:rsidTr="00714B82">
        <w:trPr>
          <w:jc w:val="center"/>
        </w:trPr>
        <w:tc>
          <w:tcPr>
            <w:tcW w:w="559" w:type="dxa"/>
            <w:tcMar>
              <w:top w:w="80" w:type="dxa"/>
              <w:left w:w="80" w:type="dxa"/>
              <w:bottom w:w="80" w:type="dxa"/>
              <w:right w:w="80" w:type="dxa"/>
            </w:tcMar>
          </w:tcPr>
          <w:p w14:paraId="46339F68"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8</w:t>
            </w:r>
          </w:p>
        </w:tc>
        <w:tc>
          <w:tcPr>
            <w:tcW w:w="4584" w:type="dxa"/>
            <w:tcMar>
              <w:top w:w="80" w:type="dxa"/>
              <w:left w:w="80" w:type="dxa"/>
              <w:bottom w:w="80" w:type="dxa"/>
              <w:right w:w="80" w:type="dxa"/>
            </w:tcMar>
          </w:tcPr>
          <w:p w14:paraId="45773AB6" w14:textId="4DAA822C" w:rsidR="0006244D" w:rsidRPr="00976ED2" w:rsidRDefault="00CA7F4D" w:rsidP="0041581D">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Final Consolidated Report with finalized strategies, cross-institutional findings, systemic recommendations</w:t>
            </w:r>
            <w:r w:rsidR="0090565E">
              <w:rPr>
                <w:rFonts w:ascii="Times New Roman" w:hAnsi="Times New Roman" w:cs="Times New Roman"/>
                <w:sz w:val="24"/>
                <w:szCs w:val="24"/>
              </w:rPr>
              <w:t>,</w:t>
            </w:r>
            <w:r w:rsidRPr="00976ED2">
              <w:rPr>
                <w:rFonts w:ascii="Times New Roman" w:hAnsi="Times New Roman" w:cs="Times New Roman"/>
                <w:sz w:val="24"/>
                <w:szCs w:val="24"/>
              </w:rPr>
              <w:t xml:space="preserve"> </w:t>
            </w:r>
            <w:r w:rsidR="0090565E" w:rsidRPr="0090565E">
              <w:rPr>
                <w:rFonts w:ascii="Times New Roman" w:hAnsi="Times New Roman" w:cs="Times New Roman"/>
                <w:sz w:val="24"/>
                <w:szCs w:val="24"/>
              </w:rPr>
              <w:t>including recommendations aimed at strengthening sector-level coordination and shared utilization of research infrastructure, where supported by the findings</w:t>
            </w:r>
            <w:r w:rsidR="0090565E">
              <w:rPr>
                <w:rFonts w:ascii="Times New Roman" w:hAnsi="Times New Roman" w:cs="Times New Roman"/>
                <w:sz w:val="24"/>
                <w:szCs w:val="24"/>
              </w:rPr>
              <w:t xml:space="preserve"> </w:t>
            </w:r>
            <w:r w:rsidRPr="00976ED2">
              <w:rPr>
                <w:rFonts w:ascii="Times New Roman" w:hAnsi="Times New Roman" w:cs="Times New Roman"/>
                <w:sz w:val="24"/>
                <w:szCs w:val="24"/>
              </w:rPr>
              <w:t>and monitoring framework</w:t>
            </w:r>
          </w:p>
        </w:tc>
        <w:tc>
          <w:tcPr>
            <w:tcW w:w="1474" w:type="dxa"/>
            <w:tcMar>
              <w:top w:w="80" w:type="dxa"/>
              <w:left w:w="80" w:type="dxa"/>
              <w:bottom w:w="80" w:type="dxa"/>
              <w:right w:w="80" w:type="dxa"/>
            </w:tcMar>
          </w:tcPr>
          <w:p w14:paraId="0A144178"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32 weeks from signing the contract</w:t>
            </w:r>
          </w:p>
        </w:tc>
        <w:tc>
          <w:tcPr>
            <w:tcW w:w="1587" w:type="dxa"/>
            <w:tcMar>
              <w:top w:w="80" w:type="dxa"/>
              <w:left w:w="80" w:type="dxa"/>
              <w:bottom w:w="80" w:type="dxa"/>
              <w:right w:w="80" w:type="dxa"/>
            </w:tcMar>
          </w:tcPr>
          <w:p w14:paraId="46205AE8"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Electronic format (Word and PDF), editable files and hard-copy format where required</w:t>
            </w:r>
          </w:p>
        </w:tc>
        <w:tc>
          <w:tcPr>
            <w:tcW w:w="1427" w:type="dxa"/>
            <w:tcMar>
              <w:top w:w="80" w:type="dxa"/>
              <w:left w:w="80" w:type="dxa"/>
              <w:bottom w:w="80" w:type="dxa"/>
              <w:right w:w="80" w:type="dxa"/>
            </w:tcMar>
          </w:tcPr>
          <w:p w14:paraId="624C469A" w14:textId="77777777" w:rsidR="0006244D" w:rsidRPr="00976ED2" w:rsidRDefault="00CA7F4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MoER and PMT</w:t>
            </w:r>
          </w:p>
        </w:tc>
      </w:tr>
    </w:tbl>
    <w:p w14:paraId="0818D01A" w14:textId="77777777" w:rsidR="0006244D" w:rsidRPr="00976ED2" w:rsidRDefault="0006244D" w:rsidP="00714B82">
      <w:pPr>
        <w:spacing w:after="0"/>
        <w:jc w:val="both"/>
        <w:rPr>
          <w:rFonts w:ascii="Times New Roman" w:hAnsi="Times New Roman" w:cs="Times New Roman"/>
          <w:sz w:val="24"/>
          <w:szCs w:val="24"/>
        </w:rPr>
      </w:pPr>
    </w:p>
    <w:p w14:paraId="3AF43A74"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t>8. Institutional arrangements</w:t>
      </w:r>
    </w:p>
    <w:p w14:paraId="46735925"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work in close coordination with the MoER, the PMT and beneficiary universities throughout the implementation of the assignment.</w:t>
      </w:r>
    </w:p>
    <w:p w14:paraId="522FB496"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MoER and PMT shall:</w:t>
      </w:r>
    </w:p>
    <w:p w14:paraId="0B2FB7A9"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facilitate communication and coordination with beneficiary universities;</w:t>
      </w:r>
    </w:p>
    <w:p w14:paraId="40A587B7"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lastRenderedPageBreak/>
        <w:t>provide relevant available documentation and institutional information necessary for implementation of the assignment;</w:t>
      </w:r>
    </w:p>
    <w:p w14:paraId="29544F99"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and approve deliverables submitted by the Consulting Company;</w:t>
      </w:r>
    </w:p>
    <w:p w14:paraId="227E6B70"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provide comments and recommendations on draft deliverables, where necessary;</w:t>
      </w:r>
    </w:p>
    <w:p w14:paraId="66EC6CC5"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monitor implementation progress of the assignment; and</w:t>
      </w:r>
    </w:p>
    <w:p w14:paraId="1715AD8A"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support validation of cross-institutional and systemic findings, where relevant.</w:t>
      </w:r>
    </w:p>
    <w:p w14:paraId="35AF5728"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Beneficiary universities shall:</w:t>
      </w:r>
    </w:p>
    <w:p w14:paraId="22AF7313"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designate focal points for coordination with the Consulting Company;</w:t>
      </w:r>
    </w:p>
    <w:p w14:paraId="3FDE55B4"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facilitate access to relevant institutional information, financial data, documentation, internal regulations and stakeholders necessary for implementation of the assignment;</w:t>
      </w:r>
    </w:p>
    <w:p w14:paraId="4F8A9DE7"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facilitate access to assets, infrastructure and relevant institutional sites for assessment purposes;</w:t>
      </w:r>
    </w:p>
    <w:p w14:paraId="13D873A6"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participate in consultations, meetings, interviews and validation activities related to the assignment;</w:t>
      </w:r>
    </w:p>
    <w:p w14:paraId="71D95AC7"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review and provide feedback on draft institutional reports and financial sustainability strategies; and</w:t>
      </w:r>
    </w:p>
    <w:p w14:paraId="3A7C7C54"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support clarification of data gaps, assumptions and institutional constraints identified during the assignment.</w:t>
      </w:r>
    </w:p>
    <w:p w14:paraId="54BA7C0E"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w:t>
      </w:r>
    </w:p>
    <w:p w14:paraId="11360140"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ensure timely and quality implementation of all activities under the assignment;</w:t>
      </w:r>
    </w:p>
    <w:p w14:paraId="5FDAB7C2"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maintain regular communication with the MoER, PMT and beneficiary universities;</w:t>
      </w:r>
    </w:p>
    <w:p w14:paraId="64C88091"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apply the approved methodology and data collection tools;</w:t>
      </w:r>
    </w:p>
    <w:p w14:paraId="7AF91483"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ensure the quality, consistency and internal coherence of all reports, calculations, recommendations and strategies;</w:t>
      </w:r>
    </w:p>
    <w:p w14:paraId="4094DDA0"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ensure confidentiality and proper use of all institutional information obtained during implementation of the assignment;</w:t>
      </w:r>
    </w:p>
    <w:p w14:paraId="2A071CAA"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submit all deliverables within the deadlines established under the contract; and</w:t>
      </w:r>
    </w:p>
    <w:p w14:paraId="6DE381EB"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implement all activities and deliverables in accordance with applicable national legislation, the Project Operations Manual (POM), and World Bank applicable procurement and implementation requirements.</w:t>
      </w:r>
    </w:p>
    <w:p w14:paraId="4BFBFE3F"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t>9. Confidentiality, data protection and intellectual property</w:t>
      </w:r>
    </w:p>
    <w:p w14:paraId="1D5583B1"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All data, information, documents and materials provided by the MoER, the PMT and beneficiary universities for the purpose of this assignment shall be treated as confidential and shall be used solely for the implementation of the present assignment.</w:t>
      </w:r>
    </w:p>
    <w:p w14:paraId="74A9D7BE"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Consulting Company and its experts shall not disclose, reproduce, distribute or communicate any information or materials obtained during the implementation of the assignment to any third party without the prior written consent of the MoER.</w:t>
      </w:r>
    </w:p>
    <w:p w14:paraId="32C687F0"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ensure appropriate data protection, confidentiality and secure handling of all information obtained during implementation, including financial, personal, commercial, contractual, asset-related and institutional data, in accordance with applicable national legislation and World Bank requirements.</w:t>
      </w:r>
    </w:p>
    <w:p w14:paraId="0559DC08"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All reports, analyses, methodologies, databases, materials, calculations, templates, presentations, strategies and other outputs produced under this assignment shall become the property of the MoER. All intellectual property rights arising from the implementation of this assignment shall belong exclusively to the MoER, unless otherwise agreed in the contract.</w:t>
      </w:r>
    </w:p>
    <w:p w14:paraId="635ACA37"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lastRenderedPageBreak/>
        <w:t>Annex 1. Indicative documentation and data to be reviewed</w:t>
      </w:r>
    </w:p>
    <w:p w14:paraId="2D0C795F"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following indicative list of documents and data may be requested from beneficiary universities, subject to availability and applicable confidentiality requirements:</w:t>
      </w:r>
    </w:p>
    <w:p w14:paraId="5298FFBC"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institutional development strategies, action plans and annual reports;</w:t>
      </w:r>
    </w:p>
    <w:p w14:paraId="5297C169"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approved budgets, budget execution reports, financial statements and management reports for the last 3-5 years;</w:t>
      </w:r>
    </w:p>
    <w:p w14:paraId="22E3CB7D"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revenue data disaggregated by source, including public funding, tuition fees, research grants, projects, continuing education, dormitories, rentals, services, donations and other own revenues;</w:t>
      </w:r>
    </w:p>
    <w:p w14:paraId="180234EF"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expenditure data disaggregated by economic category, organizational unit, function, program, project, asset or service, where available;</w:t>
      </w:r>
    </w:p>
    <w:p w14:paraId="74A30CD3" w14:textId="0AEEC543" w:rsidR="0006244D" w:rsidRPr="00976ED2" w:rsidRDefault="00685543" w:rsidP="00E85418">
      <w:pPr>
        <w:pStyle w:val="Listcumarcatori"/>
        <w:spacing w:after="60"/>
        <w:jc w:val="both"/>
        <w:rPr>
          <w:rFonts w:ascii="Times New Roman" w:hAnsi="Times New Roman" w:cs="Times New Roman"/>
          <w:sz w:val="24"/>
          <w:szCs w:val="24"/>
        </w:rPr>
      </w:pPr>
      <w:r w:rsidRPr="00685543">
        <w:rPr>
          <w:rFonts w:ascii="Times New Roman" w:hAnsi="Times New Roman" w:cs="Times New Roman"/>
          <w:sz w:val="24"/>
          <w:szCs w:val="24"/>
        </w:rPr>
        <w:t xml:space="preserve">compensation and incentive policies, including aggregated staff cost structures, remuneration frameworks, staffing levels, </w:t>
      </w:r>
      <w:r w:rsidR="00CA7F4D" w:rsidRPr="00976ED2">
        <w:rPr>
          <w:rFonts w:ascii="Times New Roman" w:hAnsi="Times New Roman" w:cs="Times New Roman"/>
          <w:sz w:val="24"/>
          <w:szCs w:val="24"/>
        </w:rPr>
        <w:t xml:space="preserve">workload </w:t>
      </w:r>
      <w:r w:rsidR="0039359A" w:rsidRPr="00685543">
        <w:rPr>
          <w:rFonts w:ascii="Times New Roman" w:hAnsi="Times New Roman" w:cs="Times New Roman"/>
          <w:sz w:val="24"/>
          <w:szCs w:val="24"/>
        </w:rPr>
        <w:t>distribution</w:t>
      </w:r>
      <w:r w:rsidR="0039359A" w:rsidRPr="00976ED2">
        <w:rPr>
          <w:rFonts w:ascii="Times New Roman" w:hAnsi="Times New Roman" w:cs="Times New Roman"/>
          <w:sz w:val="24"/>
          <w:szCs w:val="24"/>
        </w:rPr>
        <w:t xml:space="preserve"> </w:t>
      </w:r>
      <w:r w:rsidR="00CA7F4D" w:rsidRPr="00976ED2">
        <w:rPr>
          <w:rFonts w:ascii="Times New Roman" w:hAnsi="Times New Roman" w:cs="Times New Roman"/>
          <w:sz w:val="24"/>
          <w:szCs w:val="24"/>
        </w:rPr>
        <w:t xml:space="preserve">and organizational structure information relevant to financial and administrative </w:t>
      </w:r>
      <w:proofErr w:type="spellStart"/>
      <w:proofErr w:type="gramStart"/>
      <w:r w:rsidR="00CA7F4D" w:rsidRPr="00976ED2">
        <w:rPr>
          <w:rFonts w:ascii="Times New Roman" w:hAnsi="Times New Roman" w:cs="Times New Roman"/>
          <w:sz w:val="24"/>
          <w:szCs w:val="24"/>
        </w:rPr>
        <w:t>functions;</w:t>
      </w:r>
      <w:r w:rsidR="00CA7F4D" w:rsidRPr="00976ED2">
        <w:rPr>
          <w:rFonts w:ascii="Times New Roman" w:hAnsi="Times New Roman" w:cs="Times New Roman"/>
          <w:sz w:val="24"/>
          <w:szCs w:val="24"/>
        </w:rPr>
        <w:t>asset</w:t>
      </w:r>
      <w:proofErr w:type="spellEnd"/>
      <w:proofErr w:type="gramEnd"/>
      <w:r w:rsidR="00CA7F4D" w:rsidRPr="00976ED2">
        <w:rPr>
          <w:rFonts w:ascii="Times New Roman" w:hAnsi="Times New Roman" w:cs="Times New Roman"/>
          <w:sz w:val="24"/>
          <w:szCs w:val="24"/>
        </w:rPr>
        <w:t xml:space="preserve"> registers, cadastral/property documents, floor plans, space inventories, equipment inventories, dormitory data and utilization records;</w:t>
      </w:r>
    </w:p>
    <w:p w14:paraId="2E2FEC18"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utilities, maintenance, service contracts, procurement plans and major contracts relevant to expenditure and asset management;</w:t>
      </w:r>
    </w:p>
    <w:p w14:paraId="7F812EDB"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data on laboratories, research infrastructure, sports/cultural/conference facilities and other revenue-relevant infrastructure;</w:t>
      </w:r>
    </w:p>
    <w:p w14:paraId="19EF751B"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internal regulations on budgeting, accounting, procurement, asset management, revenue generation, tariff setting, use of own revenues, internal control and reporting;</w:t>
      </w:r>
    </w:p>
    <w:p w14:paraId="126C55DE"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internal and external audit reports, risk registers, control reports and relevant compliance documentation;</w:t>
      </w:r>
    </w:p>
    <w:p w14:paraId="6126DCF2"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information on digital systems used for accounting, budgeting, procurement, asset management, HR/payroll, reporting, dashboards and decision-making; and</w:t>
      </w:r>
    </w:p>
    <w:p w14:paraId="2AF70BB4" w14:textId="77777777" w:rsidR="0006244D" w:rsidRPr="00976ED2" w:rsidRDefault="00CA7F4D" w:rsidP="00E85418">
      <w:pPr>
        <w:pStyle w:val="Listcumarcatori"/>
        <w:spacing w:after="60"/>
        <w:jc w:val="both"/>
        <w:rPr>
          <w:rFonts w:ascii="Times New Roman" w:hAnsi="Times New Roman" w:cs="Times New Roman"/>
          <w:sz w:val="24"/>
          <w:szCs w:val="24"/>
        </w:rPr>
      </w:pPr>
      <w:r w:rsidRPr="00976ED2">
        <w:rPr>
          <w:rFonts w:ascii="Times New Roman" w:hAnsi="Times New Roman" w:cs="Times New Roman"/>
          <w:sz w:val="24"/>
          <w:szCs w:val="24"/>
        </w:rPr>
        <w:t>minutes, decisions or other records of relevant governing bodies related to financial planning, resource allocation, asset use and strategic development.</w:t>
      </w:r>
    </w:p>
    <w:p w14:paraId="6288BF6C"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t>Annex 2. Minimum structure of the five-year institutional financial sustainability strategy</w:t>
      </w:r>
    </w:p>
    <w:p w14:paraId="33247391" w14:textId="77777777" w:rsidR="0006244D" w:rsidRPr="00976ED2" w:rsidRDefault="00CA7F4D" w:rsidP="002A22E1">
      <w:pPr>
        <w:spacing w:after="0"/>
        <w:jc w:val="both"/>
        <w:rPr>
          <w:rFonts w:ascii="Times New Roman" w:hAnsi="Times New Roman" w:cs="Times New Roman"/>
          <w:sz w:val="24"/>
          <w:szCs w:val="24"/>
        </w:rPr>
      </w:pPr>
      <w:r w:rsidRPr="00976ED2">
        <w:rPr>
          <w:rFonts w:ascii="Times New Roman" w:hAnsi="Times New Roman" w:cs="Times New Roman"/>
          <w:sz w:val="24"/>
          <w:szCs w:val="24"/>
        </w:rPr>
        <w:t>Each institution-specific five-year financial sustainability strategy shall include, at minimum, the following sections:</w:t>
      </w:r>
    </w:p>
    <w:p w14:paraId="187259A5"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 Executive summary;</w:t>
      </w:r>
    </w:p>
    <w:p w14:paraId="75E5CBDB"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2. Institutional context and strategic priorities;</w:t>
      </w:r>
    </w:p>
    <w:p w14:paraId="0BCA8440"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3. Baseline financial diagnosis;</w:t>
      </w:r>
    </w:p>
    <w:p w14:paraId="7340501B"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4. Revenue analysis and revenue diversification potential;</w:t>
      </w:r>
    </w:p>
    <w:p w14:paraId="054E193E"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5. Expenditure analysis, cost centers and cost drivers;</w:t>
      </w:r>
    </w:p>
    <w:p w14:paraId="202B15B3"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6. Asset utilization and revenue potential;</w:t>
      </w:r>
    </w:p>
    <w:p w14:paraId="2FEC3404"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7. Financial management, internal controls and governance assessment;</w:t>
      </w:r>
    </w:p>
    <w:p w14:paraId="13945BF1"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8. Staff capacity and digitalization assessment;</w:t>
      </w:r>
    </w:p>
    <w:p w14:paraId="3D97E1E6"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9. Five-year financial scenarios and assumptions;</w:t>
      </w:r>
    </w:p>
    <w:p w14:paraId="06C21AFC"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10. Priority measures for revenue growth and diversification;</w:t>
      </w:r>
    </w:p>
    <w:p w14:paraId="5F91F4A3"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11. Priority measures for cost optimization and expenditure reduction;</w:t>
      </w:r>
    </w:p>
    <w:p w14:paraId="7D62E8CD"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12. Priority measures for strengthening financial management, governance and digitalization;</w:t>
      </w:r>
    </w:p>
    <w:p w14:paraId="568A0DA3"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13. Implementation roadmap, responsibilities and sequencing;</w:t>
      </w:r>
    </w:p>
    <w:p w14:paraId="093A0826"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14. Estimated financial impact of proposed measures;</w:t>
      </w:r>
    </w:p>
    <w:p w14:paraId="12575CCB"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15. Risks and mitigation measures;</w:t>
      </w:r>
    </w:p>
    <w:p w14:paraId="3C8F9A0F"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16. Monitoring framework, KPIs, baselines and annual targets; and</w:t>
      </w:r>
    </w:p>
    <w:p w14:paraId="6C1601C5" w14:textId="77777777" w:rsidR="0006244D" w:rsidRPr="00976ED2" w:rsidRDefault="00CA7F4D" w:rsidP="00E85418">
      <w:pPr>
        <w:spacing w:after="20" w:line="240" w:lineRule="auto"/>
        <w:ind w:left="283" w:hanging="283"/>
        <w:jc w:val="both"/>
        <w:rPr>
          <w:rFonts w:ascii="Times New Roman" w:hAnsi="Times New Roman" w:cs="Times New Roman"/>
          <w:sz w:val="24"/>
          <w:szCs w:val="24"/>
        </w:rPr>
      </w:pPr>
      <w:r w:rsidRPr="00976ED2">
        <w:rPr>
          <w:rFonts w:ascii="Times New Roman" w:hAnsi="Times New Roman" w:cs="Times New Roman"/>
          <w:sz w:val="24"/>
          <w:szCs w:val="24"/>
        </w:rPr>
        <w:t>17. Annexes with calculations, data sources, assumptions and consultation records.</w:t>
      </w:r>
    </w:p>
    <w:p w14:paraId="234ED7FB" w14:textId="77777777" w:rsidR="0006244D" w:rsidRPr="00976ED2" w:rsidRDefault="00CA7F4D" w:rsidP="00E85418">
      <w:pPr>
        <w:pStyle w:val="Titlu1"/>
        <w:spacing w:after="120"/>
        <w:jc w:val="both"/>
        <w:rPr>
          <w:rFonts w:ascii="Times New Roman" w:hAnsi="Times New Roman" w:cs="Times New Roman"/>
          <w:sz w:val="24"/>
          <w:szCs w:val="24"/>
        </w:rPr>
      </w:pPr>
      <w:r w:rsidRPr="00976ED2">
        <w:rPr>
          <w:rFonts w:ascii="Times New Roman" w:eastAsia="Arial" w:hAnsi="Times New Roman" w:cs="Times New Roman"/>
          <w:sz w:val="24"/>
          <w:szCs w:val="24"/>
        </w:rPr>
        <w:lastRenderedPageBreak/>
        <w:t>Annex 3. Indicative analytical indicators</w:t>
      </w:r>
    </w:p>
    <w:p w14:paraId="22C083F0" w14:textId="77777777" w:rsidR="0006244D" w:rsidRPr="00976ED2" w:rsidRDefault="00CA7F4D" w:rsidP="00E85418">
      <w:pPr>
        <w:jc w:val="both"/>
        <w:rPr>
          <w:rFonts w:ascii="Times New Roman" w:hAnsi="Times New Roman" w:cs="Times New Roman"/>
          <w:sz w:val="24"/>
          <w:szCs w:val="24"/>
        </w:rPr>
      </w:pPr>
      <w:r w:rsidRPr="00976ED2">
        <w:rPr>
          <w:rFonts w:ascii="Times New Roman" w:hAnsi="Times New Roman" w:cs="Times New Roman"/>
          <w:sz w:val="24"/>
          <w:szCs w:val="24"/>
        </w:rPr>
        <w:t>The Consulting Company shall propose the final list of indicators in the Inception Report. The following indicators are indicative and may be adapted to data availability and institutional specificity:</w:t>
      </w:r>
    </w:p>
    <w:tbl>
      <w:tblPr>
        <w:tblStyle w:val="Tabelgril"/>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381"/>
        <w:gridCol w:w="6917"/>
      </w:tblGrid>
      <w:tr w:rsidR="0006244D" w:rsidRPr="00976ED2" w14:paraId="2CEBDF99" w14:textId="77777777">
        <w:trPr>
          <w:tblHeader/>
          <w:jc w:val="center"/>
        </w:trPr>
        <w:tc>
          <w:tcPr>
            <w:tcW w:w="2381" w:type="dxa"/>
            <w:shd w:val="clear" w:color="auto" w:fill="1F4E79"/>
            <w:tcMar>
              <w:top w:w="80" w:type="dxa"/>
              <w:left w:w="80" w:type="dxa"/>
              <w:bottom w:w="80" w:type="dxa"/>
              <w:right w:w="80" w:type="dxa"/>
            </w:tcMar>
            <w:vAlign w:val="center"/>
          </w:tcPr>
          <w:p w14:paraId="4E925A2A"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Area</w:t>
            </w:r>
          </w:p>
        </w:tc>
        <w:tc>
          <w:tcPr>
            <w:tcW w:w="6917" w:type="dxa"/>
            <w:shd w:val="clear" w:color="auto" w:fill="1F4E79"/>
            <w:tcMar>
              <w:top w:w="80" w:type="dxa"/>
              <w:left w:w="80" w:type="dxa"/>
              <w:bottom w:w="80" w:type="dxa"/>
              <w:right w:w="80" w:type="dxa"/>
            </w:tcMar>
            <w:vAlign w:val="center"/>
          </w:tcPr>
          <w:p w14:paraId="5F99DE23"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b/>
                <w:color w:val="FFFFFF"/>
                <w:sz w:val="24"/>
                <w:szCs w:val="24"/>
              </w:rPr>
              <w:t>Indicative indicators</w:t>
            </w:r>
          </w:p>
        </w:tc>
      </w:tr>
      <w:tr w:rsidR="0006244D" w:rsidRPr="00976ED2" w14:paraId="49270DF1" w14:textId="77777777">
        <w:trPr>
          <w:jc w:val="center"/>
        </w:trPr>
        <w:tc>
          <w:tcPr>
            <w:tcW w:w="2381" w:type="dxa"/>
            <w:tcMar>
              <w:top w:w="80" w:type="dxa"/>
              <w:left w:w="80" w:type="dxa"/>
              <w:bottom w:w="80" w:type="dxa"/>
              <w:right w:w="80" w:type="dxa"/>
            </w:tcMar>
          </w:tcPr>
          <w:p w14:paraId="6FEDC639"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Revenue structure</w:t>
            </w:r>
          </w:p>
        </w:tc>
        <w:tc>
          <w:tcPr>
            <w:tcW w:w="6917" w:type="dxa"/>
            <w:tcMar>
              <w:top w:w="80" w:type="dxa"/>
              <w:left w:w="80" w:type="dxa"/>
              <w:bottom w:w="80" w:type="dxa"/>
              <w:right w:w="80" w:type="dxa"/>
            </w:tcMar>
          </w:tcPr>
          <w:p w14:paraId="0FDA6A27"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Total revenue; revenue by source; own revenue share; tuition revenue share; public funding share; research/project revenue share; continuing education revenue; rental/service revenue; revenue per student.</w:t>
            </w:r>
          </w:p>
        </w:tc>
      </w:tr>
      <w:tr w:rsidR="0006244D" w:rsidRPr="00976ED2" w14:paraId="4EC9A8B5" w14:textId="77777777">
        <w:trPr>
          <w:jc w:val="center"/>
        </w:trPr>
        <w:tc>
          <w:tcPr>
            <w:tcW w:w="2381" w:type="dxa"/>
            <w:tcMar>
              <w:top w:w="80" w:type="dxa"/>
              <w:left w:w="80" w:type="dxa"/>
              <w:bottom w:w="80" w:type="dxa"/>
              <w:right w:w="80" w:type="dxa"/>
            </w:tcMar>
          </w:tcPr>
          <w:p w14:paraId="7A4EC418"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Expenditure structure</w:t>
            </w:r>
          </w:p>
        </w:tc>
        <w:tc>
          <w:tcPr>
            <w:tcW w:w="6917" w:type="dxa"/>
            <w:tcMar>
              <w:top w:w="80" w:type="dxa"/>
              <w:left w:w="80" w:type="dxa"/>
              <w:bottom w:w="80" w:type="dxa"/>
              <w:right w:w="80" w:type="dxa"/>
            </w:tcMar>
          </w:tcPr>
          <w:p w14:paraId="3AC5BBFD"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Total expenditure; staff cost share; utilities share; maintenance share; administrative cost share; academic delivery cost; expenditure per student; expenditure by organizational unit or cost center, where available.</w:t>
            </w:r>
          </w:p>
        </w:tc>
      </w:tr>
      <w:tr w:rsidR="0006244D" w:rsidRPr="00976ED2" w14:paraId="0E11BE2F" w14:textId="77777777">
        <w:trPr>
          <w:jc w:val="center"/>
        </w:trPr>
        <w:tc>
          <w:tcPr>
            <w:tcW w:w="2381" w:type="dxa"/>
            <w:tcMar>
              <w:top w:w="80" w:type="dxa"/>
              <w:left w:w="80" w:type="dxa"/>
              <w:bottom w:w="80" w:type="dxa"/>
              <w:right w:w="80" w:type="dxa"/>
            </w:tcMar>
          </w:tcPr>
          <w:p w14:paraId="295A12C1"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Cost centers</w:t>
            </w:r>
          </w:p>
        </w:tc>
        <w:tc>
          <w:tcPr>
            <w:tcW w:w="6917" w:type="dxa"/>
            <w:tcMar>
              <w:top w:w="80" w:type="dxa"/>
              <w:left w:w="80" w:type="dxa"/>
              <w:bottom w:w="80" w:type="dxa"/>
              <w:right w:w="80" w:type="dxa"/>
            </w:tcMar>
          </w:tcPr>
          <w:p w14:paraId="7F8E3845"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Cost by faculty/department/program; cost per student by unit/program; cost per square meter; dormitory operating cost; laboratory operating cost; cost recovery ratios.</w:t>
            </w:r>
          </w:p>
        </w:tc>
      </w:tr>
      <w:tr w:rsidR="0006244D" w:rsidRPr="00976ED2" w14:paraId="0C31BC15" w14:textId="77777777">
        <w:trPr>
          <w:jc w:val="center"/>
        </w:trPr>
        <w:tc>
          <w:tcPr>
            <w:tcW w:w="2381" w:type="dxa"/>
            <w:tcMar>
              <w:top w:w="80" w:type="dxa"/>
              <w:left w:w="80" w:type="dxa"/>
              <w:bottom w:w="80" w:type="dxa"/>
              <w:right w:w="80" w:type="dxa"/>
            </w:tcMar>
          </w:tcPr>
          <w:p w14:paraId="59B9C227" w14:textId="77777777" w:rsidR="0006244D" w:rsidRPr="00976ED2" w:rsidRDefault="00CA7F4D" w:rsidP="0041581D">
            <w:pPr>
              <w:spacing w:after="0" w:line="240" w:lineRule="auto"/>
              <w:rPr>
                <w:rFonts w:ascii="Times New Roman" w:hAnsi="Times New Roman" w:cs="Times New Roman"/>
                <w:sz w:val="24"/>
                <w:szCs w:val="24"/>
              </w:rPr>
            </w:pPr>
            <w:r w:rsidRPr="00976ED2">
              <w:rPr>
                <w:rFonts w:ascii="Times New Roman" w:hAnsi="Times New Roman" w:cs="Times New Roman"/>
                <w:sz w:val="24"/>
                <w:szCs w:val="24"/>
              </w:rPr>
              <w:t>Assets and infrastructure</w:t>
            </w:r>
          </w:p>
        </w:tc>
        <w:tc>
          <w:tcPr>
            <w:tcW w:w="6917" w:type="dxa"/>
            <w:tcMar>
              <w:top w:w="80" w:type="dxa"/>
              <w:left w:w="80" w:type="dxa"/>
              <w:bottom w:w="80" w:type="dxa"/>
              <w:right w:w="80" w:type="dxa"/>
            </w:tcMar>
          </w:tcPr>
          <w:p w14:paraId="465A2B08"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Space utilization rate; cost per square meter; utilities per square meter; dormitory occupancy; revenue per asset category; underutilized space; investment needs.</w:t>
            </w:r>
          </w:p>
        </w:tc>
      </w:tr>
      <w:tr w:rsidR="0006244D" w:rsidRPr="00976ED2" w14:paraId="32BC1A9C" w14:textId="77777777">
        <w:trPr>
          <w:jc w:val="center"/>
        </w:trPr>
        <w:tc>
          <w:tcPr>
            <w:tcW w:w="2381" w:type="dxa"/>
            <w:tcMar>
              <w:top w:w="80" w:type="dxa"/>
              <w:left w:w="80" w:type="dxa"/>
              <w:bottom w:w="80" w:type="dxa"/>
              <w:right w:w="80" w:type="dxa"/>
            </w:tcMar>
          </w:tcPr>
          <w:p w14:paraId="6B0933DD"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Financial management and governance</w:t>
            </w:r>
          </w:p>
        </w:tc>
        <w:tc>
          <w:tcPr>
            <w:tcW w:w="6917" w:type="dxa"/>
            <w:tcMar>
              <w:top w:w="80" w:type="dxa"/>
              <w:left w:w="80" w:type="dxa"/>
              <w:bottom w:w="80" w:type="dxa"/>
              <w:right w:w="80" w:type="dxa"/>
            </w:tcMar>
          </w:tcPr>
          <w:p w14:paraId="5B179500"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Budget execution rate; budget revision frequency; timeliness of management reports; existence and use of internal procedures; segregation of duties; internal control and audit arrangements; use of financial data in decision-making.</w:t>
            </w:r>
          </w:p>
        </w:tc>
      </w:tr>
      <w:tr w:rsidR="0006244D" w:rsidRPr="00976ED2" w14:paraId="796AEFD8" w14:textId="77777777">
        <w:trPr>
          <w:jc w:val="center"/>
        </w:trPr>
        <w:tc>
          <w:tcPr>
            <w:tcW w:w="2381" w:type="dxa"/>
            <w:tcMar>
              <w:top w:w="80" w:type="dxa"/>
              <w:left w:w="80" w:type="dxa"/>
              <w:bottom w:w="80" w:type="dxa"/>
              <w:right w:w="80" w:type="dxa"/>
            </w:tcMar>
          </w:tcPr>
          <w:p w14:paraId="7555A4F1"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Digitalization</w:t>
            </w:r>
          </w:p>
        </w:tc>
        <w:tc>
          <w:tcPr>
            <w:tcW w:w="6917" w:type="dxa"/>
            <w:tcMar>
              <w:top w:w="80" w:type="dxa"/>
              <w:left w:w="80" w:type="dxa"/>
              <w:bottom w:w="80" w:type="dxa"/>
              <w:right w:w="80" w:type="dxa"/>
            </w:tcMar>
          </w:tcPr>
          <w:p w14:paraId="71A59C52"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Level of automation of budgeting, accounting, procurement, asset management, HR/payroll and reporting; interoperability; dashboard availability; manual data processing; data quality issues.</w:t>
            </w:r>
          </w:p>
        </w:tc>
      </w:tr>
      <w:tr w:rsidR="0006244D" w:rsidRPr="00976ED2" w14:paraId="4DA412B2" w14:textId="77777777">
        <w:trPr>
          <w:jc w:val="center"/>
        </w:trPr>
        <w:tc>
          <w:tcPr>
            <w:tcW w:w="2381" w:type="dxa"/>
            <w:tcMar>
              <w:top w:w="80" w:type="dxa"/>
              <w:left w:w="80" w:type="dxa"/>
              <w:bottom w:w="80" w:type="dxa"/>
              <w:right w:w="80" w:type="dxa"/>
            </w:tcMar>
          </w:tcPr>
          <w:p w14:paraId="16802DA1"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Financial sustainability</w:t>
            </w:r>
          </w:p>
        </w:tc>
        <w:tc>
          <w:tcPr>
            <w:tcW w:w="6917" w:type="dxa"/>
            <w:tcMar>
              <w:top w:w="80" w:type="dxa"/>
              <w:left w:w="80" w:type="dxa"/>
              <w:bottom w:w="80" w:type="dxa"/>
              <w:right w:w="80" w:type="dxa"/>
            </w:tcMar>
          </w:tcPr>
          <w:p w14:paraId="4E632C37" w14:textId="77777777" w:rsidR="0006244D" w:rsidRPr="00976ED2" w:rsidRDefault="00CA7F4D" w:rsidP="00E85418">
            <w:pPr>
              <w:spacing w:after="0" w:line="240" w:lineRule="auto"/>
              <w:jc w:val="both"/>
              <w:rPr>
                <w:rFonts w:ascii="Times New Roman" w:hAnsi="Times New Roman" w:cs="Times New Roman"/>
                <w:sz w:val="24"/>
                <w:szCs w:val="24"/>
              </w:rPr>
            </w:pPr>
            <w:r w:rsidRPr="00976ED2">
              <w:rPr>
                <w:rFonts w:ascii="Times New Roman" w:hAnsi="Times New Roman" w:cs="Times New Roman"/>
                <w:sz w:val="24"/>
                <w:szCs w:val="24"/>
              </w:rPr>
              <w:t>Dependency on main revenue sources; budget rigidity; multi-year forecast; financial risks; estimated impact of proposed measures; sensitivity of scenarios to key assumptions.</w:t>
            </w:r>
          </w:p>
        </w:tc>
      </w:tr>
    </w:tbl>
    <w:p w14:paraId="473EBFB7" w14:textId="77777777" w:rsidR="00CA7F4D" w:rsidRPr="00976ED2" w:rsidRDefault="00CA7F4D">
      <w:pPr>
        <w:rPr>
          <w:rFonts w:ascii="Times New Roman" w:hAnsi="Times New Roman" w:cs="Times New Roman"/>
          <w:sz w:val="24"/>
          <w:szCs w:val="24"/>
        </w:rPr>
      </w:pPr>
    </w:p>
    <w:sectPr w:rsidR="00CA7F4D" w:rsidRPr="00976ED2" w:rsidSect="00034616">
      <w:pgSz w:w="11906" w:h="16838"/>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87F8" w14:textId="77777777" w:rsidR="00807BB5" w:rsidRDefault="00807BB5">
      <w:pPr>
        <w:spacing w:after="0" w:line="240" w:lineRule="auto"/>
      </w:pPr>
      <w:r>
        <w:separator/>
      </w:r>
    </w:p>
  </w:endnote>
  <w:endnote w:type="continuationSeparator" w:id="0">
    <w:p w14:paraId="0908B989" w14:textId="77777777" w:rsidR="00807BB5" w:rsidRDefault="00807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370C7" w14:textId="77777777" w:rsidR="00807BB5" w:rsidRDefault="00807BB5">
      <w:pPr>
        <w:spacing w:after="0" w:line="240" w:lineRule="auto"/>
      </w:pPr>
      <w:r>
        <w:separator/>
      </w:r>
    </w:p>
  </w:footnote>
  <w:footnote w:type="continuationSeparator" w:id="0">
    <w:p w14:paraId="0F8B093D" w14:textId="77777777" w:rsidR="00807BB5" w:rsidRDefault="00807B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E166C220"/>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476B04F6"/>
    <w:multiLevelType w:val="hybridMultilevel"/>
    <w:tmpl w:val="42DEC716"/>
    <w:lvl w:ilvl="0" w:tplc="F668ABE0">
      <w:start w:val="1"/>
      <w:numFmt w:val="lowerRoman"/>
      <w:lvlText w:val="(%1)"/>
      <w:lvlJc w:val="left"/>
      <w:pPr>
        <w:ind w:left="1080" w:hanging="72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6A083C"/>
    <w:multiLevelType w:val="hybridMultilevel"/>
    <w:tmpl w:val="A78E7D9A"/>
    <w:lvl w:ilvl="0" w:tplc="041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10175828">
    <w:abstractNumId w:val="8"/>
  </w:num>
  <w:num w:numId="2" w16cid:durableId="60952014">
    <w:abstractNumId w:val="6"/>
  </w:num>
  <w:num w:numId="3" w16cid:durableId="1845823304">
    <w:abstractNumId w:val="5"/>
  </w:num>
  <w:num w:numId="4" w16cid:durableId="551380832">
    <w:abstractNumId w:val="4"/>
  </w:num>
  <w:num w:numId="5" w16cid:durableId="2094083848">
    <w:abstractNumId w:val="7"/>
  </w:num>
  <w:num w:numId="6" w16cid:durableId="743377790">
    <w:abstractNumId w:val="3"/>
  </w:num>
  <w:num w:numId="7" w16cid:durableId="276328621">
    <w:abstractNumId w:val="2"/>
  </w:num>
  <w:num w:numId="8" w16cid:durableId="1285887211">
    <w:abstractNumId w:val="1"/>
  </w:num>
  <w:num w:numId="9" w16cid:durableId="954099166">
    <w:abstractNumId w:val="0"/>
  </w:num>
  <w:num w:numId="10" w16cid:durableId="135726313">
    <w:abstractNumId w:val="9"/>
  </w:num>
  <w:num w:numId="11" w16cid:durableId="1033923667">
    <w:abstractNumId w:val="11"/>
  </w:num>
  <w:num w:numId="12" w16cid:durableId="349189508">
    <w:abstractNumId w:val="10"/>
  </w:num>
  <w:num w:numId="13" w16cid:durableId="304044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85D"/>
    <w:rsid w:val="00034616"/>
    <w:rsid w:val="0006063C"/>
    <w:rsid w:val="0006244D"/>
    <w:rsid w:val="00073283"/>
    <w:rsid w:val="000F502E"/>
    <w:rsid w:val="0015074B"/>
    <w:rsid w:val="001917D5"/>
    <w:rsid w:val="001C1850"/>
    <w:rsid w:val="002215A6"/>
    <w:rsid w:val="00230393"/>
    <w:rsid w:val="00240911"/>
    <w:rsid w:val="00287C33"/>
    <w:rsid w:val="0029639D"/>
    <w:rsid w:val="002A22E1"/>
    <w:rsid w:val="00326F90"/>
    <w:rsid w:val="00332ACE"/>
    <w:rsid w:val="0039359A"/>
    <w:rsid w:val="0041581D"/>
    <w:rsid w:val="005028F0"/>
    <w:rsid w:val="0052197F"/>
    <w:rsid w:val="00556E7A"/>
    <w:rsid w:val="005C30C5"/>
    <w:rsid w:val="005D2B8A"/>
    <w:rsid w:val="00665464"/>
    <w:rsid w:val="0067226B"/>
    <w:rsid w:val="00685543"/>
    <w:rsid w:val="00714B82"/>
    <w:rsid w:val="007643A1"/>
    <w:rsid w:val="00807BB5"/>
    <w:rsid w:val="00811D8A"/>
    <w:rsid w:val="0082660F"/>
    <w:rsid w:val="008D067D"/>
    <w:rsid w:val="0090565E"/>
    <w:rsid w:val="00915360"/>
    <w:rsid w:val="00976ED2"/>
    <w:rsid w:val="009D124D"/>
    <w:rsid w:val="00A34487"/>
    <w:rsid w:val="00AA1D8D"/>
    <w:rsid w:val="00B47730"/>
    <w:rsid w:val="00B964F5"/>
    <w:rsid w:val="00BC3F7A"/>
    <w:rsid w:val="00BE1768"/>
    <w:rsid w:val="00C20F7D"/>
    <w:rsid w:val="00C227EA"/>
    <w:rsid w:val="00CA7F4D"/>
    <w:rsid w:val="00CB0664"/>
    <w:rsid w:val="00CB5656"/>
    <w:rsid w:val="00D16B7C"/>
    <w:rsid w:val="00DC45EF"/>
    <w:rsid w:val="00E57B94"/>
    <w:rsid w:val="00E756F0"/>
    <w:rsid w:val="00E85418"/>
    <w:rsid w:val="00EA68BD"/>
    <w:rsid w:val="00EC4B4E"/>
    <w:rsid w:val="00ED3047"/>
    <w:rsid w:val="00F42AC6"/>
    <w:rsid w:val="00F921CF"/>
    <w:rsid w:val="00FA23CC"/>
    <w:rsid w:val="00FC10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B07B19A-EC33-4552-99E8-04B9354C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rial" w:eastAsia="Arial" w:hAnsi="Arial"/>
      <w:sz w:val="21"/>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fCaracter"/>
    <w:uiPriority w:val="34"/>
    <w:qFormat/>
    <w:rsid w:val="00FC693F"/>
    <w:pPr>
      <w:ind w:left="720"/>
      <w:contextualSpacing/>
    </w:pPr>
  </w:style>
  <w:style w:type="paragraph" w:styleId="Corptext">
    <w:name w:val="Body Text"/>
    <w:basedOn w:val="Normal"/>
    <w:link w:val="CorptextCaracter"/>
    <w:uiPriority w:val="99"/>
    <w:unhideWhenUsed/>
    <w:rsid w:val="00AA1D8D"/>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ind w:left="360"/>
      <w:contextualSpacing/>
    </w:pPr>
  </w:style>
  <w:style w:type="paragraph" w:styleId="Listcontinuare2">
    <w:name w:val="List Continue 2"/>
    <w:basedOn w:val="Normal"/>
    <w:uiPriority w:val="99"/>
    <w:unhideWhenUsed/>
    <w:rsid w:val="0029639D"/>
    <w:pPr>
      <w:ind w:left="720"/>
      <w:contextualSpacing/>
    </w:pPr>
  </w:style>
  <w:style w:type="paragraph" w:styleId="Listcontinuare3">
    <w:name w:val="List Continue 3"/>
    <w:basedOn w:val="Normal"/>
    <w:uiPriority w:val="99"/>
    <w:unhideWhenUsed/>
    <w:rsid w:val="0029639D"/>
    <w:pPr>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fCaracter">
    <w:name w:val="Listă paragraf Caracter"/>
    <w:aliases w:val="References Caracter,NUMBERED PARAGRAPH Caracter,List Paragraph 1 Caracter,Bullets Caracter,List_Paragraph Caracter,Multilevel para_II Caracter,List Paragraph1 Caracter,Numbered List Paragraph Caracter,Liste 1 Caracter,Ha Caracter"/>
    <w:link w:val="Listparagraf"/>
    <w:uiPriority w:val="34"/>
    <w:qFormat/>
    <w:rsid w:val="00E756F0"/>
    <w:rPr>
      <w:rFonts w:ascii="Arial" w:eastAsia="Arial" w:hAnsi="Arial"/>
      <w:sz w:val="21"/>
    </w:rPr>
  </w:style>
  <w:style w:type="paragraph" w:customStyle="1" w:styleId="Heading1a">
    <w:name w:val="Heading 1a"/>
    <w:rsid w:val="00E756F0"/>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styleId="Revizuire">
    <w:name w:val="Revision"/>
    <w:hidden/>
    <w:uiPriority w:val="99"/>
    <w:semiHidden/>
    <w:rsid w:val="00ED3047"/>
    <w:pPr>
      <w:spacing w:after="0" w:line="240" w:lineRule="auto"/>
    </w:pPr>
    <w:rPr>
      <w:rFonts w:ascii="Arial" w:eastAsia="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5637</Words>
  <Characters>32134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Revised ToR - Institutional Financial Diagnostic, Asset Audit and Five-Year Financial Sustainability Strategies</vt:lpstr>
    </vt:vector>
  </TitlesOfParts>
  <Manager/>
  <Company/>
  <LinksUpToDate>false</LinksUpToDate>
  <CharactersWithSpaces>37696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ToR - Institutional Financial Diagnostic, Asset Audit and Five-Year Financial Sustainability Strategies</dc:title>
  <dc:subject>Moldova Higher Education Project - Strategic Policy Initiatives</dc:subject>
  <dc:creator>Ministry of Education and Research (MoER)</dc:creator>
  <cp:keywords>ToR, higher education, financial sustainability, asset audit, revenue diversification, cost optimization, Moldova</cp:keywords>
  <dc:description>generated by python-docx</dc:description>
  <cp:lastModifiedBy>Cezar Captaciuc</cp:lastModifiedBy>
  <cp:revision>6</cp:revision>
  <dcterms:created xsi:type="dcterms:W3CDTF">2026-07-28T07:16:00Z</dcterms:created>
  <dcterms:modified xsi:type="dcterms:W3CDTF">2026-07-28T07:23:00Z</dcterms:modified>
  <cp:category/>
</cp:coreProperties>
</file>